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d02a6" w14:textId="edd02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тұлғаның активтері мен міндеттемелері туралы декларацияның нысанын және оны жасау қағидаларын бекіту туралы" Қазақстан Республикасы Қаржы министрінің 2016 жылғы 20 маусымдағы № 322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8 ақпандағы № 87 бұйрығы. Қазақстан Республикасының Әділет министрлігінде 2017 жылғы 10 наурызда № 14883 болып тіркелді. Күші жойылды - Қазақстан Республикасы Қаржы министрінің 2018 жылғы 21 маусымдағы № 617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21.06.2018 </w:t>
      </w:r>
      <w:r>
        <w:rPr>
          <w:rFonts w:ascii="Times New Roman"/>
          <w:b w:val="false"/>
          <w:i w:val="false"/>
          <w:color w:val="ff0000"/>
          <w:sz w:val="28"/>
        </w:rPr>
        <w:t>№ 617</w:t>
      </w:r>
      <w:r>
        <w:rPr>
          <w:rFonts w:ascii="Times New Roman"/>
          <w:b w:val="false"/>
          <w:i w:val="false"/>
          <w:color w:val="ff0000"/>
          <w:sz w:val="28"/>
        </w:rPr>
        <w:t xml:space="preserve"> (01.01.2020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2016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"Жеке тұлғаның активтері мен міндеттемелері туралы декларацияның нысанын және оны жасау қағидаларын бекіту туралы" Қазахстан Республикасы Қаржы министрінің 2016 жылғы 20 маусымдағы № 322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13940 болып тіркелген, "Әділет" ақпараттық-құқықтық жүйесінде 2016 жылғы 1 тамызда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"3. Осы бұйрық 2020 жылғы 1 қаңтардан бастап қолданысқа енгізіледі және ресми жариялауға жатады.". </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тәртіпте:</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тіркеген күнінен бастап он күнтізбелік күн ішінде оның көшірмелерін баспа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орналастыруын қамтамасыз етсін.</w:t>
      </w:r>
    </w:p>
    <w:bookmarkStart w:name="z5" w:id="4"/>
    <w:p>
      <w:pPr>
        <w:spacing w:after="0"/>
        <w:ind w:left="0"/>
        <w:jc w:val="both"/>
      </w:pPr>
      <w:r>
        <w:rPr>
          <w:rFonts w:ascii="Times New Roman"/>
          <w:b w:val="false"/>
          <w:i w:val="false"/>
          <w:color w:val="000000"/>
          <w:sz w:val="28"/>
        </w:rPr>
        <w:t xml:space="preserve">
      3. Осы бұйрық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