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05ff" w14:textId="69d0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сарапшыларының біліктілігін арттыру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31 наурыздағы № 346 бұйрығы. Қазақстан Республикасының Әділет министрлігінде 2017 жылғы 5 сәуірде № 14980 болып тіркелді.</w:t>
      </w:r>
    </w:p>
    <w:p>
      <w:pPr>
        <w:spacing w:after="0"/>
        <w:ind w:left="0"/>
        <w:jc w:val="both"/>
      </w:pPr>
      <w:bookmarkStart w:name="z1" w:id="0"/>
      <w:r>
        <w:rPr>
          <w:rFonts w:ascii="Times New Roman"/>
          <w:b w:val="false"/>
          <w:i w:val="false"/>
          <w:color w:val="000000"/>
          <w:sz w:val="28"/>
        </w:rPr>
        <w:t xml:space="preserve">
      "Сот-сараптама қызметі туралы" 2017 жылғы 10 ақпандағы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Сот сарапшыларының біліктілігін арттыру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Республикаы Әділет министрлігінің Сараптама қызметін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министрінің жетекшілік ететін орынбасарына жүктелсін. </w:t>
      </w:r>
    </w:p>
    <w:bookmarkEnd w:id="5"/>
    <w:bookmarkStart w:name="z7"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201_ жылғы 31 наурыздағы</w:t>
            </w:r>
            <w:r>
              <w:br/>
            </w:r>
            <w:r>
              <w:rPr>
                <w:rFonts w:ascii="Times New Roman"/>
                <w:b w:val="false"/>
                <w:i w:val="false"/>
                <w:color w:val="000000"/>
                <w:sz w:val="20"/>
              </w:rPr>
              <w:t>№ 346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сот сарапшыларының біліктілігін арттыру қағидалары</w:t>
      </w:r>
    </w:p>
    <w:bookmarkEnd w:id="7"/>
    <w:bookmarkStart w:name="z11" w:id="8"/>
    <w:p>
      <w:pPr>
        <w:spacing w:after="0"/>
        <w:ind w:left="0"/>
        <w:jc w:val="left"/>
      </w:pPr>
      <w:r>
        <w:rPr>
          <w:rFonts w:ascii="Times New Roman"/>
          <w:b/>
          <w:i w:val="false"/>
          <w:color w:val="000000"/>
        </w:rPr>
        <w:t xml:space="preserve"> 1 тарау. Жалпы ережелер</w:t>
      </w:r>
    </w:p>
    <w:bookmarkEnd w:id="8"/>
    <w:bookmarkStart w:name="z12" w:id="9"/>
    <w:p>
      <w:pPr>
        <w:spacing w:after="0"/>
        <w:ind w:left="0"/>
        <w:jc w:val="both"/>
      </w:pPr>
      <w:r>
        <w:rPr>
          <w:rFonts w:ascii="Times New Roman"/>
          <w:b w:val="false"/>
          <w:i w:val="false"/>
          <w:color w:val="000000"/>
          <w:sz w:val="28"/>
        </w:rPr>
        <w:t xml:space="preserve">
      1. Осы Қағида "Қазақстан Республикасындағы сот-сараптама қызметі туралы" Қазақстан Республикасының 2017 жылғы 10 ақпандағы </w:t>
      </w:r>
      <w:r>
        <w:rPr>
          <w:rFonts w:ascii="Times New Roman"/>
          <w:b w:val="false"/>
          <w:i w:val="false"/>
          <w:color w:val="000000"/>
          <w:sz w:val="28"/>
        </w:rPr>
        <w:t>Заңына</w:t>
      </w:r>
      <w:r>
        <w:rPr>
          <w:rFonts w:ascii="Times New Roman"/>
          <w:b w:val="false"/>
          <w:i w:val="false"/>
          <w:color w:val="000000"/>
          <w:sz w:val="28"/>
        </w:rPr>
        <w:t xml:space="preserve"> сәйкес және сот сараптама органдарының сот сарапшыларының (бұдан әрі – сот сарапшылары) және лицензия негізінде сот-сарапшылық қызметті жүргізетін тұлғалардың (бұдан әрі – лицензиаттар) біліктілігін арттыруды ұйымдастыру тәртібін айқындайды.</w:t>
      </w:r>
    </w:p>
    <w:bookmarkEnd w:id="9"/>
    <w:bookmarkStart w:name="z13" w:id="10"/>
    <w:p>
      <w:pPr>
        <w:spacing w:after="0"/>
        <w:ind w:left="0"/>
        <w:jc w:val="both"/>
      </w:pPr>
      <w:r>
        <w:rPr>
          <w:rFonts w:ascii="Times New Roman"/>
          <w:b w:val="false"/>
          <w:i w:val="false"/>
          <w:color w:val="000000"/>
          <w:sz w:val="28"/>
        </w:rPr>
        <w:t>
      2. Сот сарапшыларының және лицензиаттардың біліктілігін арттыру сот сарапшылары және лицензиаттар ретінде өз функцияларын орындауға қажетті кәсіби білімін мен машығын дамыту мен тереңдету мақсатында жүзеге асырылады.</w:t>
      </w:r>
    </w:p>
    <w:bookmarkEnd w:id="10"/>
    <w:bookmarkStart w:name="z14" w:id="11"/>
    <w:p>
      <w:pPr>
        <w:spacing w:after="0"/>
        <w:ind w:left="0"/>
        <w:jc w:val="both"/>
      </w:pPr>
      <w:r>
        <w:rPr>
          <w:rFonts w:ascii="Times New Roman"/>
          <w:b w:val="false"/>
          <w:i w:val="false"/>
          <w:color w:val="000000"/>
          <w:sz w:val="28"/>
        </w:rPr>
        <w:t xml:space="preserve">
      3. Сот сарапшыларының және лицензиаттардың біліктілігін арттыру негізгі принциптері өздігімен білім алумен оқытудың жүйелік, үздіксіздік, сабақтастық байланыстыру. </w:t>
      </w:r>
    </w:p>
    <w:bookmarkEnd w:id="11"/>
    <w:bookmarkStart w:name="z15" w:id="12"/>
    <w:p>
      <w:pPr>
        <w:spacing w:after="0"/>
        <w:ind w:left="0"/>
        <w:jc w:val="both"/>
      </w:pPr>
      <w:r>
        <w:rPr>
          <w:rFonts w:ascii="Times New Roman"/>
          <w:b w:val="false"/>
          <w:i w:val="false"/>
          <w:color w:val="000000"/>
          <w:sz w:val="28"/>
        </w:rPr>
        <w:t xml:space="preserve">
      4. Сот сарапшыларының және лицензиаттарының біліктілік арттыру бойынша қызметін үйлестіру сот сараптамасы органы мен Қазақстан Республикасы Сот сараптамасы палатасының (бұдан әрі – Палата) қатысумен жүзеге асады. </w:t>
      </w:r>
    </w:p>
    <w:bookmarkEnd w:id="12"/>
    <w:bookmarkStart w:name="z16" w:id="13"/>
    <w:p>
      <w:pPr>
        <w:spacing w:after="0"/>
        <w:ind w:left="0"/>
        <w:jc w:val="both"/>
      </w:pPr>
      <w:r>
        <w:rPr>
          <w:rFonts w:ascii="Times New Roman"/>
          <w:b w:val="false"/>
          <w:i w:val="false"/>
          <w:color w:val="000000"/>
          <w:sz w:val="28"/>
        </w:rPr>
        <w:t>
      5. Сот сарапшыларының және лицензиаттардың біліктілігін арттыру оқыту семинарлары, біліктілік арттыру курстары, оқыту тренингтері, "шеберлік - сыныбы", тәжірибе арқылы оқыту түрінде (тағылымдама):</w:t>
      </w:r>
    </w:p>
    <w:bookmarkEnd w:id="13"/>
    <w:bookmarkStart w:name="z17" w:id="14"/>
    <w:p>
      <w:pPr>
        <w:spacing w:after="0"/>
        <w:ind w:left="0"/>
        <w:jc w:val="both"/>
      </w:pPr>
      <w:r>
        <w:rPr>
          <w:rFonts w:ascii="Times New Roman"/>
          <w:b w:val="false"/>
          <w:i w:val="false"/>
          <w:color w:val="000000"/>
          <w:sz w:val="28"/>
        </w:rPr>
        <w:t>
      1) сот сараптамасы органдарында;</w:t>
      </w:r>
    </w:p>
    <w:bookmarkEnd w:id="14"/>
    <w:bookmarkStart w:name="z18" w:id="15"/>
    <w:p>
      <w:pPr>
        <w:spacing w:after="0"/>
        <w:ind w:left="0"/>
        <w:jc w:val="both"/>
      </w:pPr>
      <w:r>
        <w:rPr>
          <w:rFonts w:ascii="Times New Roman"/>
          <w:b w:val="false"/>
          <w:i w:val="false"/>
          <w:color w:val="000000"/>
          <w:sz w:val="28"/>
        </w:rPr>
        <w:t>
      2) мемлекеттік және мемлекеттік емес ұйымдарда;</w:t>
      </w:r>
    </w:p>
    <w:bookmarkEnd w:id="15"/>
    <w:bookmarkStart w:name="z19" w:id="16"/>
    <w:p>
      <w:pPr>
        <w:spacing w:after="0"/>
        <w:ind w:left="0"/>
        <w:jc w:val="both"/>
      </w:pPr>
      <w:r>
        <w:rPr>
          <w:rFonts w:ascii="Times New Roman"/>
          <w:b w:val="false"/>
          <w:i w:val="false"/>
          <w:color w:val="000000"/>
          <w:sz w:val="28"/>
        </w:rPr>
        <w:t>
      3) оқыту-білім беру мекемелерінде;</w:t>
      </w:r>
    </w:p>
    <w:bookmarkEnd w:id="16"/>
    <w:bookmarkStart w:name="z20" w:id="17"/>
    <w:p>
      <w:pPr>
        <w:spacing w:after="0"/>
        <w:ind w:left="0"/>
        <w:jc w:val="both"/>
      </w:pPr>
      <w:r>
        <w:rPr>
          <w:rFonts w:ascii="Times New Roman"/>
          <w:b w:val="false"/>
          <w:i w:val="false"/>
          <w:color w:val="000000"/>
          <w:sz w:val="28"/>
        </w:rPr>
        <w:t xml:space="preserve">
      4) Қазақстан Республикасы және шетелдегі өндірістік базаларда өтеді. </w:t>
      </w:r>
    </w:p>
    <w:bookmarkEnd w:id="17"/>
    <w:bookmarkStart w:name="z21" w:id="18"/>
    <w:p>
      <w:pPr>
        <w:spacing w:after="0"/>
        <w:ind w:left="0"/>
        <w:jc w:val="both"/>
      </w:pPr>
      <w:r>
        <w:rPr>
          <w:rFonts w:ascii="Times New Roman"/>
          <w:b w:val="false"/>
          <w:i w:val="false"/>
          <w:color w:val="000000"/>
          <w:sz w:val="28"/>
        </w:rPr>
        <w:t xml:space="preserve">
      6. Сот медицинасы, сот психиатрия және наркология саласындағы, медициналық білімі бар сот сарапшыларының біліктілігін аттыру Қазақстан Республикасы Денсаулық сақтау министрінің 2020 жылғы 21 желтоқсандағы № ҚР ДСМ-303/2020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21847 болып тіркелген) бекітілген Денсаулық сақтау саласындағы мамандарға қосымша және формальды емес білім беру қағидаларына,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қағидаларына сәйкес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03.01.2024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left"/>
      </w:pPr>
      <w:r>
        <w:rPr>
          <w:rFonts w:ascii="Times New Roman"/>
          <w:b/>
          <w:i w:val="false"/>
          <w:color w:val="000000"/>
        </w:rPr>
        <w:t xml:space="preserve"> 2 тарау. Сот сарапшыларының біліктілігін арттыру тәртібі</w:t>
      </w:r>
    </w:p>
    <w:bookmarkEnd w:id="19"/>
    <w:bookmarkStart w:name="z23" w:id="20"/>
    <w:p>
      <w:pPr>
        <w:spacing w:after="0"/>
        <w:ind w:left="0"/>
        <w:jc w:val="both"/>
      </w:pPr>
      <w:r>
        <w:rPr>
          <w:rFonts w:ascii="Times New Roman"/>
          <w:b w:val="false"/>
          <w:i w:val="false"/>
          <w:color w:val="000000"/>
          <w:sz w:val="28"/>
        </w:rPr>
        <w:t xml:space="preserve">
      7. Сот сарапшыларының және лицензиатттардың тиісті кәсіби деңгейін қамтамасыз ету үшін бес жылда бір рет біліктілік арттырудан өтеді. </w:t>
      </w:r>
    </w:p>
    <w:bookmarkEnd w:id="20"/>
    <w:bookmarkStart w:name="z24" w:id="21"/>
    <w:p>
      <w:pPr>
        <w:spacing w:after="0"/>
        <w:ind w:left="0"/>
        <w:jc w:val="both"/>
      </w:pPr>
      <w:r>
        <w:rPr>
          <w:rFonts w:ascii="Times New Roman"/>
          <w:b w:val="false"/>
          <w:i w:val="false"/>
          <w:color w:val="000000"/>
          <w:sz w:val="28"/>
        </w:rPr>
        <w:t xml:space="preserve">
      8. Бесжылдық кезең сот сарапшысының және лицензиаттарының біліктілік куәлігін алған жылдан бастап есептеледі. </w:t>
      </w:r>
    </w:p>
    <w:bookmarkEnd w:id="21"/>
    <w:bookmarkStart w:name="z25" w:id="22"/>
    <w:p>
      <w:pPr>
        <w:spacing w:after="0"/>
        <w:ind w:left="0"/>
        <w:jc w:val="both"/>
      </w:pPr>
      <w:r>
        <w:rPr>
          <w:rFonts w:ascii="Times New Roman"/>
          <w:b w:val="false"/>
          <w:i w:val="false"/>
          <w:color w:val="000000"/>
          <w:sz w:val="28"/>
        </w:rPr>
        <w:t xml:space="preserve">
      Бесжылдық кезеңге сот сарапшысының және лицензиаттардың жұмыс өтеліндегі үзіліс, сонымен қатар бала күтіміне байланысты берілетін оны үш жасқа дейін жалақысы сақталмайтын еңбек демалысы кірмейді. </w:t>
      </w:r>
    </w:p>
    <w:bookmarkEnd w:id="22"/>
    <w:bookmarkStart w:name="z26" w:id="23"/>
    <w:p>
      <w:pPr>
        <w:spacing w:after="0"/>
        <w:ind w:left="0"/>
        <w:jc w:val="both"/>
      </w:pPr>
      <w:r>
        <w:rPr>
          <w:rFonts w:ascii="Times New Roman"/>
          <w:b w:val="false"/>
          <w:i w:val="false"/>
          <w:color w:val="000000"/>
          <w:sz w:val="28"/>
        </w:rPr>
        <w:t xml:space="preserve">
      9. Сот сарапшыларының және лицензиаттардың біліктілігін арттыру бойынша жоспарлы іс-шаралар туралы ақпарат сот сараптамасы органдарының, сонымен қатар Палатаның ресми сайттарында жарияланады. </w:t>
      </w:r>
    </w:p>
    <w:bookmarkEnd w:id="23"/>
    <w:bookmarkStart w:name="z27" w:id="24"/>
    <w:p>
      <w:pPr>
        <w:spacing w:after="0"/>
        <w:ind w:left="0"/>
        <w:jc w:val="both"/>
      </w:pPr>
      <w:r>
        <w:rPr>
          <w:rFonts w:ascii="Times New Roman"/>
          <w:b w:val="false"/>
          <w:i w:val="false"/>
          <w:color w:val="000000"/>
          <w:sz w:val="28"/>
        </w:rPr>
        <w:t xml:space="preserve">
      10. Сот сараптамасы органдарының немесе оның міндетін атқарушы тұлғамен сот сарапшыларының, Палатаның ұсынуымен лицензиаттар тізімі бекітіледі. </w:t>
      </w:r>
    </w:p>
    <w:bookmarkEnd w:id="24"/>
    <w:bookmarkStart w:name="z28" w:id="25"/>
    <w:p>
      <w:pPr>
        <w:spacing w:after="0"/>
        <w:ind w:left="0"/>
        <w:jc w:val="both"/>
      </w:pPr>
      <w:r>
        <w:rPr>
          <w:rFonts w:ascii="Times New Roman"/>
          <w:b w:val="false"/>
          <w:i w:val="false"/>
          <w:color w:val="000000"/>
          <w:sz w:val="28"/>
        </w:rPr>
        <w:t xml:space="preserve">
      11. Біліктілік арттырудан өтетін сот сарапшыларының тізімі бекітілген соң, сот сараптамасы органдарының немесе оның міндетін атқарушы тұлғамен аумақтық бөлімшелерге жедел түрде оқытудың болатын орны мен уақыты хабарланады. Лицензиаттарға біліктілік арттырудың өткізу орны мен уақытын Палата хабарлайды. </w:t>
      </w:r>
    </w:p>
    <w:bookmarkEnd w:id="25"/>
    <w:bookmarkStart w:name="z29" w:id="26"/>
    <w:p>
      <w:pPr>
        <w:spacing w:after="0"/>
        <w:ind w:left="0"/>
        <w:jc w:val="both"/>
      </w:pPr>
      <w:r>
        <w:rPr>
          <w:rFonts w:ascii="Times New Roman"/>
          <w:b w:val="false"/>
          <w:i w:val="false"/>
          <w:color w:val="000000"/>
          <w:sz w:val="28"/>
        </w:rPr>
        <w:t>
      12. Біліктілік арттыру 120 сағаттық сот оқытудан тұрады:</w:t>
      </w:r>
    </w:p>
    <w:bookmarkEnd w:id="26"/>
    <w:bookmarkStart w:name="z30" w:id="27"/>
    <w:p>
      <w:pPr>
        <w:spacing w:after="0"/>
        <w:ind w:left="0"/>
        <w:jc w:val="both"/>
      </w:pPr>
      <w:r>
        <w:rPr>
          <w:rFonts w:ascii="Times New Roman"/>
          <w:b w:val="false"/>
          <w:i w:val="false"/>
          <w:color w:val="000000"/>
          <w:sz w:val="28"/>
        </w:rPr>
        <w:t>
      1) Сот сарапшыларын оқытудың міндетті 60 академиялық оқу сағаты осы Қағиданың 5-тармағында белгіленген тәртіппен жүргізіледі;</w:t>
      </w:r>
    </w:p>
    <w:bookmarkEnd w:id="27"/>
    <w:bookmarkStart w:name="z31" w:id="28"/>
    <w:p>
      <w:pPr>
        <w:spacing w:after="0"/>
        <w:ind w:left="0"/>
        <w:jc w:val="both"/>
      </w:pPr>
      <w:r>
        <w:rPr>
          <w:rFonts w:ascii="Times New Roman"/>
          <w:b w:val="false"/>
          <w:i w:val="false"/>
          <w:color w:val="000000"/>
          <w:sz w:val="28"/>
        </w:rPr>
        <w:t xml:space="preserve">
      2) қосымша 60 сағаты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тәртіпте жүргізіледі.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Әділет министрінің 27.01.2020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13. Біліктілік арттырудың міндетті сағаттары сараптама мамандығы бойынша теориялық және тәжірибелік сұрақтарды үйренуді қамтиды. </w:t>
      </w:r>
    </w:p>
    <w:bookmarkEnd w:id="29"/>
    <w:bookmarkStart w:name="z33" w:id="30"/>
    <w:p>
      <w:pPr>
        <w:spacing w:after="0"/>
        <w:ind w:left="0"/>
        <w:jc w:val="both"/>
      </w:pPr>
      <w:r>
        <w:rPr>
          <w:rFonts w:ascii="Times New Roman"/>
          <w:b w:val="false"/>
          <w:i w:val="false"/>
          <w:color w:val="000000"/>
          <w:sz w:val="28"/>
        </w:rPr>
        <w:t xml:space="preserve">
      14. Біліктілік арттырудың қосымша сағаттары кәсіби, интелектуалды, арнайы және функционалды білімін, машығын және дағдыларын дамыту мақсатында өткізіледі. </w:t>
      </w:r>
    </w:p>
    <w:bookmarkEnd w:id="30"/>
    <w:bookmarkStart w:name="z34" w:id="31"/>
    <w:p>
      <w:pPr>
        <w:spacing w:after="0"/>
        <w:ind w:left="0"/>
        <w:jc w:val="both"/>
      </w:pPr>
      <w:r>
        <w:rPr>
          <w:rFonts w:ascii="Times New Roman"/>
          <w:b w:val="false"/>
          <w:i w:val="false"/>
          <w:color w:val="000000"/>
          <w:sz w:val="28"/>
        </w:rPr>
        <w:t xml:space="preserve">
      15. Қосымша сағаттарға, осы Қағиданың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біліктілікті арттырудың әр түрлі нысандарын қоспағанда, Қағидаға қосымшаға сәйкес сынақ бірліктерін қайта есептеу жүйесімен есептелетін ғылыми жұмыстарды, мақалаларды, баяндамаларды жариялау, қатысқан конференциялар, семинарлар, форумдар қосылады.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27.01.2020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16. Аумақтық бөлімшелердің сот сарапшаларының сот сараптамасы органдарының немесе оның міндетін атқарушы тұлғамен бекітілген жоспарға сәйкес өткізіледі. Лицензиаттардың біліктілігін арттыру Палата төрағасының атына еркін формадағы лицензиаттармен ұсынылған өтінішке сәйкес жүзеге асырылады. </w:t>
      </w:r>
    </w:p>
    <w:bookmarkEnd w:id="32"/>
    <w:bookmarkStart w:name="z36" w:id="33"/>
    <w:p>
      <w:pPr>
        <w:spacing w:after="0"/>
        <w:ind w:left="0"/>
        <w:jc w:val="both"/>
      </w:pPr>
      <w:r>
        <w:rPr>
          <w:rFonts w:ascii="Times New Roman"/>
          <w:b w:val="false"/>
          <w:i w:val="false"/>
          <w:color w:val="000000"/>
          <w:sz w:val="28"/>
        </w:rPr>
        <w:t xml:space="preserve">
      17. Оқытудан өткен сот сарапшылары, лицензиаттар сот сараптамасы органдарына, Палатаға келесі құжаттарды ұсынады: </w:t>
      </w:r>
    </w:p>
    <w:bookmarkEnd w:id="33"/>
    <w:bookmarkStart w:name="z37" w:id="34"/>
    <w:p>
      <w:pPr>
        <w:spacing w:after="0"/>
        <w:ind w:left="0"/>
        <w:jc w:val="both"/>
      </w:pPr>
      <w:r>
        <w:rPr>
          <w:rFonts w:ascii="Times New Roman"/>
          <w:b w:val="false"/>
          <w:i w:val="false"/>
          <w:color w:val="000000"/>
          <w:sz w:val="28"/>
        </w:rPr>
        <w:t xml:space="preserve">
      1) біліктіліктен өткендігі жөніндегі құжаттың көшірмесі; </w:t>
      </w:r>
    </w:p>
    <w:bookmarkEnd w:id="34"/>
    <w:bookmarkStart w:name="z38" w:id="35"/>
    <w:p>
      <w:pPr>
        <w:spacing w:after="0"/>
        <w:ind w:left="0"/>
        <w:jc w:val="both"/>
      </w:pPr>
      <w:r>
        <w:rPr>
          <w:rFonts w:ascii="Times New Roman"/>
          <w:b w:val="false"/>
          <w:i w:val="false"/>
          <w:color w:val="000000"/>
          <w:sz w:val="28"/>
        </w:rPr>
        <w:t>
      2) біліктілік арттырудан өткендігі туралы есеп.</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сарапшылардың біліктілігін</w:t>
            </w:r>
            <w:r>
              <w:br/>
            </w:r>
            <w:r>
              <w:rPr>
                <w:rFonts w:ascii="Times New Roman"/>
                <w:b w:val="false"/>
                <w:i w:val="false"/>
                <w:color w:val="000000"/>
                <w:sz w:val="20"/>
              </w:rPr>
              <w:t>арттыру қағидаларына қосымша</w:t>
            </w:r>
          </w:p>
        </w:tc>
      </w:tr>
    </w:tbl>
    <w:p>
      <w:pPr>
        <w:spacing w:after="0"/>
        <w:ind w:left="0"/>
        <w:jc w:val="left"/>
      </w:pPr>
      <w:r>
        <w:rPr>
          <w:rFonts w:ascii="Times New Roman"/>
          <w:b/>
          <w:i w:val="false"/>
          <w:color w:val="000000"/>
        </w:rPr>
        <w:t xml:space="preserve"> Сот сарапшылардың біліктілігін арттыруға өту курстары кезіңде жүйе сынақ бірліктерді қайта есептеу жүйесі</w:t>
      </w:r>
    </w:p>
    <w:p>
      <w:pPr>
        <w:spacing w:after="0"/>
        <w:ind w:left="0"/>
        <w:jc w:val="both"/>
      </w:pPr>
      <w:r>
        <w:rPr>
          <w:rFonts w:ascii="Times New Roman"/>
          <w:b w:val="false"/>
          <w:i w:val="false"/>
          <w:color w:val="ff0000"/>
          <w:sz w:val="28"/>
        </w:rPr>
        <w:t xml:space="preserve">
      Ескерту. Қосымшамен толықтырылды – ҚР Әділет министрінің 27.01.2020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бірліктер саны (СБ)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несиелік бірліктер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- 60 міндетті академиялық сағат</w:t>
            </w:r>
          </w:p>
          <w:p>
            <w:pPr>
              <w:spacing w:after="20"/>
              <w:ind w:left="20"/>
              <w:jc w:val="both"/>
            </w:pPr>
            <w:r>
              <w:rPr>
                <w:rFonts w:ascii="Times New Roman"/>
                <w:b w:val="false"/>
                <w:i w:val="false"/>
                <w:color w:val="000000"/>
                <w:sz w:val="20"/>
              </w:rPr>
              <w:t>
* - Қазақстан Республикасында да, одан тыс жерлерде де сот-сараптама органында, мемлекеттік және үкіметтік емес ұйымдарда, оқу білім мекемелерінде өткен біліктілікті арттыру сағаттары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сынақ бірліктер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жұмысына қатысқаны туралы сертификатпен расталғаны (тақырыбы, орны, ұйымдастырушысы, күні):</w:t>
            </w:r>
          </w:p>
          <w:p>
            <w:pPr>
              <w:spacing w:after="20"/>
              <w:ind w:left="20"/>
              <w:jc w:val="both"/>
            </w:pPr>
            <w:r>
              <w:rPr>
                <w:rFonts w:ascii="Times New Roman"/>
                <w:b w:val="false"/>
                <w:i w:val="false"/>
                <w:color w:val="000000"/>
                <w:sz w:val="20"/>
              </w:rPr>
              <w:t>
- ғылыми практикалық (баяндамамен қатысу / қатысу)</w:t>
            </w:r>
          </w:p>
          <w:p>
            <w:pPr>
              <w:spacing w:after="20"/>
              <w:ind w:left="20"/>
              <w:jc w:val="both"/>
            </w:pPr>
            <w:r>
              <w:rPr>
                <w:rFonts w:ascii="Times New Roman"/>
                <w:b w:val="false"/>
                <w:i w:val="false"/>
                <w:color w:val="000000"/>
                <w:sz w:val="20"/>
              </w:rPr>
              <w:t>
- халықаралық (баяндамамен қатысу /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p>
            <w:pPr>
              <w:spacing w:after="20"/>
              <w:ind w:left="20"/>
              <w:jc w:val="both"/>
            </w:pPr>
            <w:r>
              <w:rPr>
                <w:rFonts w:ascii="Times New Roman"/>
                <w:b w:val="false"/>
                <w:i w:val="false"/>
                <w:color w:val="000000"/>
                <w:sz w:val="20"/>
              </w:rPr>
              <w:t>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органында, мемлекеттік және мемлекеттік емес ұйымдарда, оқу-білім мекемелерінде, өндірістік базаларда, сондай-ақ Қазақстан Республикасындағы және шетелде оқыту семинарларына, дәрістерге қатысу, соның ішінде қашықтықтан білім беру технологияларын қолдану (тақырып, сағаттың ұзақтығы), орны, ұйымдастырушысы,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сағаты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Монографияның жариялануы (тақырып, автор, баспагер, күні):</w:t>
            </w:r>
          </w:p>
          <w:p>
            <w:pPr>
              <w:spacing w:after="20"/>
              <w:ind w:left="20"/>
              <w:jc w:val="both"/>
            </w:pPr>
            <w:r>
              <w:rPr>
                <w:rFonts w:ascii="Times New Roman"/>
                <w:b w:val="false"/>
                <w:i w:val="false"/>
                <w:color w:val="000000"/>
                <w:sz w:val="20"/>
              </w:rPr>
              <w:t>
-Моно-авторлық / бірінші автор</w:t>
            </w:r>
          </w:p>
          <w:p>
            <w:pPr>
              <w:spacing w:after="20"/>
              <w:ind w:left="20"/>
              <w:jc w:val="both"/>
            </w:pPr>
            <w:r>
              <w:rPr>
                <w:rFonts w:ascii="Times New Roman"/>
                <w:b w:val="false"/>
                <w:i w:val="false"/>
                <w:color w:val="000000"/>
                <w:sz w:val="20"/>
              </w:rPr>
              <w:t>
-Бірлескен авторлық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мақаланы Жоғары аттестаттау комиссиясының тізімі бойынша жариялау (тақырып, авторлар, атауы және басылым нөмірі, күні):</w:t>
            </w:r>
          </w:p>
          <w:p>
            <w:pPr>
              <w:spacing w:after="20"/>
              <w:ind w:left="20"/>
              <w:jc w:val="both"/>
            </w:pPr>
            <w:r>
              <w:rPr>
                <w:rFonts w:ascii="Times New Roman"/>
                <w:b w:val="false"/>
                <w:i w:val="false"/>
                <w:color w:val="000000"/>
                <w:sz w:val="20"/>
              </w:rPr>
              <w:t>
-Моно-авторлық / бірінші автор</w:t>
            </w:r>
          </w:p>
          <w:p>
            <w:pPr>
              <w:spacing w:after="20"/>
              <w:ind w:left="20"/>
              <w:jc w:val="both"/>
            </w:pPr>
            <w:r>
              <w:rPr>
                <w:rFonts w:ascii="Times New Roman"/>
                <w:b w:val="false"/>
                <w:i w:val="false"/>
                <w:color w:val="000000"/>
                <w:sz w:val="20"/>
              </w:rPr>
              <w:t>
-Бірлескен авторлық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басылымдарда ғылыми мақаланың жариялануы (тақырып, авторлар, атауы және басылым нөмірі, күні):</w:t>
            </w:r>
          </w:p>
          <w:p>
            <w:pPr>
              <w:spacing w:after="20"/>
              <w:ind w:left="20"/>
              <w:jc w:val="both"/>
            </w:pPr>
            <w:r>
              <w:rPr>
                <w:rFonts w:ascii="Times New Roman"/>
                <w:b w:val="false"/>
                <w:i w:val="false"/>
                <w:color w:val="000000"/>
                <w:sz w:val="20"/>
              </w:rPr>
              <w:t>
- Моно-авторлық / бірінші автор</w:t>
            </w:r>
          </w:p>
          <w:p>
            <w:pPr>
              <w:spacing w:after="20"/>
              <w:ind w:left="20"/>
              <w:jc w:val="both"/>
            </w:pPr>
            <w:r>
              <w:rPr>
                <w:rFonts w:ascii="Times New Roman"/>
                <w:b w:val="false"/>
                <w:i w:val="false"/>
                <w:color w:val="000000"/>
                <w:sz w:val="20"/>
              </w:rPr>
              <w:t>
-Бірлескен авторлық</w:t>
            </w:r>
          </w:p>
          <w:p>
            <w:pPr>
              <w:spacing w:after="20"/>
              <w:ind w:left="20"/>
              <w:jc w:val="both"/>
            </w:pPr>
            <w:r>
              <w:rPr>
                <w:rFonts w:ascii="Times New Roman"/>
                <w:b w:val="false"/>
                <w:i w:val="false"/>
                <w:color w:val="000000"/>
                <w:sz w:val="20"/>
              </w:rPr>
              <w:t>
Рецензияланған журналдарда:</w:t>
            </w:r>
          </w:p>
          <w:p>
            <w:pPr>
              <w:spacing w:after="20"/>
              <w:ind w:left="20"/>
              <w:jc w:val="both"/>
            </w:pPr>
            <w:r>
              <w:rPr>
                <w:rFonts w:ascii="Times New Roman"/>
                <w:b w:val="false"/>
                <w:i w:val="false"/>
                <w:color w:val="000000"/>
                <w:sz w:val="20"/>
              </w:rPr>
              <w:t>
- Моно-авторлық / бірінші автор</w:t>
            </w:r>
          </w:p>
          <w:p>
            <w:pPr>
              <w:spacing w:after="20"/>
              <w:ind w:left="20"/>
              <w:jc w:val="both"/>
            </w:pPr>
            <w:r>
              <w:rPr>
                <w:rFonts w:ascii="Times New Roman"/>
                <w:b w:val="false"/>
                <w:i w:val="false"/>
                <w:color w:val="000000"/>
                <w:sz w:val="20"/>
              </w:rPr>
              <w:t>
-Бірлескен авторлық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мақаланың басқа арнайы басылымдарда, сайттарда жариялануы (тақырыбы, авторлары, атауы және басылым нөмірі, күні, сайтқа сілтеме):</w:t>
            </w:r>
          </w:p>
          <w:p>
            <w:pPr>
              <w:spacing w:after="20"/>
              <w:ind w:left="20"/>
              <w:jc w:val="both"/>
            </w:pPr>
            <w:r>
              <w:rPr>
                <w:rFonts w:ascii="Times New Roman"/>
                <w:b w:val="false"/>
                <w:i w:val="false"/>
                <w:color w:val="000000"/>
                <w:sz w:val="20"/>
              </w:rPr>
              <w:t>
-Моно-авторлық / бірінші автор</w:t>
            </w:r>
          </w:p>
          <w:p>
            <w:pPr>
              <w:spacing w:after="20"/>
              <w:ind w:left="20"/>
              <w:jc w:val="both"/>
            </w:pPr>
            <w:r>
              <w:rPr>
                <w:rFonts w:ascii="Times New Roman"/>
                <w:b w:val="false"/>
                <w:i w:val="false"/>
                <w:color w:val="000000"/>
                <w:sz w:val="20"/>
              </w:rPr>
              <w:t>
-Бірлескен авторлық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 тезистерін ғылыми-практикалық конференциялар жинағында жариялау * (тақырып, авторлар, атауы және басылым нөмірі, күні):</w:t>
            </w:r>
          </w:p>
          <w:p>
            <w:pPr>
              <w:spacing w:after="20"/>
              <w:ind w:left="20"/>
              <w:jc w:val="both"/>
            </w:pPr>
            <w:r>
              <w:rPr>
                <w:rFonts w:ascii="Times New Roman"/>
                <w:b w:val="false"/>
                <w:i w:val="false"/>
                <w:color w:val="000000"/>
                <w:sz w:val="20"/>
              </w:rPr>
              <w:t>
- республикалық деңгейде</w:t>
            </w:r>
          </w:p>
          <w:p>
            <w:pPr>
              <w:spacing w:after="20"/>
              <w:ind w:left="20"/>
              <w:jc w:val="both"/>
            </w:pPr>
            <w:r>
              <w:rPr>
                <w:rFonts w:ascii="Times New Roman"/>
                <w:b w:val="false"/>
                <w:i w:val="false"/>
                <w:color w:val="000000"/>
                <w:sz w:val="20"/>
              </w:rPr>
              <w:t>
- халықаралық деңгейде</w:t>
            </w:r>
          </w:p>
          <w:p>
            <w:pPr>
              <w:spacing w:after="20"/>
              <w:ind w:left="20"/>
              <w:jc w:val="both"/>
            </w:pPr>
            <w:r>
              <w:rPr>
                <w:rFonts w:ascii="Times New Roman"/>
                <w:b w:val="false"/>
                <w:i w:val="false"/>
                <w:color w:val="000000"/>
                <w:sz w:val="20"/>
              </w:rPr>
              <w:t>
* - автор және алғашқы 3 бірлескен автор үшін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тезис = 3</w:t>
            </w:r>
          </w:p>
          <w:p>
            <w:pPr>
              <w:spacing w:after="20"/>
              <w:ind w:left="20"/>
              <w:jc w:val="both"/>
            </w:pPr>
            <w:r>
              <w:rPr>
                <w:rFonts w:ascii="Times New Roman"/>
                <w:b w:val="false"/>
                <w:i w:val="false"/>
                <w:color w:val="000000"/>
                <w:sz w:val="20"/>
              </w:rPr>
              <w:t>
1 тезис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әдістері мен әдістемелік ұсынымдарын әзірлеу (тақырып, авторлар):</w:t>
            </w:r>
          </w:p>
          <w:p>
            <w:pPr>
              <w:spacing w:after="20"/>
              <w:ind w:left="20"/>
              <w:jc w:val="both"/>
            </w:pPr>
            <w:r>
              <w:rPr>
                <w:rFonts w:ascii="Times New Roman"/>
                <w:b w:val="false"/>
                <w:i w:val="false"/>
                <w:color w:val="000000"/>
                <w:sz w:val="20"/>
              </w:rPr>
              <w:t>
Әдістемелер:</w:t>
            </w:r>
          </w:p>
          <w:p>
            <w:pPr>
              <w:spacing w:after="20"/>
              <w:ind w:left="20"/>
              <w:jc w:val="both"/>
            </w:pPr>
            <w:r>
              <w:rPr>
                <w:rFonts w:ascii="Times New Roman"/>
                <w:b w:val="false"/>
                <w:i w:val="false"/>
                <w:color w:val="000000"/>
                <w:sz w:val="20"/>
              </w:rPr>
              <w:t>
- Моно-авторлық / бірінші автор</w:t>
            </w:r>
          </w:p>
          <w:p>
            <w:pPr>
              <w:spacing w:after="20"/>
              <w:ind w:left="20"/>
              <w:jc w:val="both"/>
            </w:pPr>
            <w:r>
              <w:rPr>
                <w:rFonts w:ascii="Times New Roman"/>
                <w:b w:val="false"/>
                <w:i w:val="false"/>
                <w:color w:val="000000"/>
                <w:sz w:val="20"/>
              </w:rPr>
              <w:t>
-Бірлескен авторлық</w:t>
            </w:r>
          </w:p>
          <w:p>
            <w:pPr>
              <w:spacing w:after="20"/>
              <w:ind w:left="20"/>
              <w:jc w:val="both"/>
            </w:pPr>
            <w:r>
              <w:rPr>
                <w:rFonts w:ascii="Times New Roman"/>
                <w:b w:val="false"/>
                <w:i w:val="false"/>
                <w:color w:val="000000"/>
                <w:sz w:val="20"/>
              </w:rPr>
              <w:t>
Әдістемелік ұсыныс:</w:t>
            </w:r>
          </w:p>
          <w:p>
            <w:pPr>
              <w:spacing w:after="20"/>
              <w:ind w:left="20"/>
              <w:jc w:val="both"/>
            </w:pPr>
            <w:r>
              <w:rPr>
                <w:rFonts w:ascii="Times New Roman"/>
                <w:b w:val="false"/>
                <w:i w:val="false"/>
                <w:color w:val="000000"/>
                <w:sz w:val="20"/>
              </w:rPr>
              <w:t>
- Моно-авторлық / бірінші автор</w:t>
            </w:r>
          </w:p>
          <w:p>
            <w:pPr>
              <w:spacing w:after="20"/>
              <w:ind w:left="20"/>
              <w:jc w:val="both"/>
            </w:pPr>
            <w:r>
              <w:rPr>
                <w:rFonts w:ascii="Times New Roman"/>
                <w:b w:val="false"/>
                <w:i w:val="false"/>
                <w:color w:val="000000"/>
                <w:sz w:val="20"/>
              </w:rPr>
              <w:t>
-Бірлескен авторлық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 алу (куәліктің нөмірі мен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құқығына сертификат алу (куәліктің нөмірі мен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тағылымдамадан өту (қашықтықтан оқыту), жұмыс сағатының саны (тақырып, ұзақтығы, орналасқан жері, күні) туралы құжат берумен расталады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Мастер-классқа мамандық бойынша тренингке қатысу (тақырып, ұзақтығы, орны, ұйымдастырушысы, күні):</w:t>
            </w:r>
          </w:p>
          <w:p>
            <w:pPr>
              <w:spacing w:after="20"/>
              <w:ind w:left="20"/>
              <w:jc w:val="both"/>
            </w:pPr>
            <w:r>
              <w:rPr>
                <w:rFonts w:ascii="Times New Roman"/>
                <w:b w:val="false"/>
                <w:i w:val="false"/>
                <w:color w:val="000000"/>
                <w:sz w:val="20"/>
              </w:rPr>
              <w:t>
- Қазақстан Республикасында</w:t>
            </w:r>
          </w:p>
          <w:p>
            <w:pPr>
              <w:spacing w:after="20"/>
              <w:ind w:left="20"/>
              <w:jc w:val="both"/>
            </w:pPr>
            <w:r>
              <w:rPr>
                <w:rFonts w:ascii="Times New Roman"/>
                <w:b w:val="false"/>
                <w:i w:val="false"/>
                <w:color w:val="000000"/>
                <w:sz w:val="20"/>
              </w:rPr>
              <w:t>
- шетелде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5</w:t>
            </w:r>
          </w:p>
          <w:p>
            <w:pPr>
              <w:spacing w:after="20"/>
              <w:ind w:left="20"/>
              <w:jc w:val="both"/>
            </w:pPr>
            <w:r>
              <w:rPr>
                <w:rFonts w:ascii="Times New Roman"/>
                <w:b w:val="false"/>
                <w:i w:val="false"/>
                <w:color w:val="000000"/>
                <w:sz w:val="20"/>
              </w:rPr>
              <w:t>
1 күн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құралдарымен жұмыс (тақырып, телеарна мен бағдарламаның атауы, атауы, басылым нөмірі, күні):</w:t>
            </w:r>
          </w:p>
          <w:p>
            <w:pPr>
              <w:spacing w:after="20"/>
              <w:ind w:left="20"/>
              <w:jc w:val="both"/>
            </w:pPr>
            <w:r>
              <w:rPr>
                <w:rFonts w:ascii="Times New Roman"/>
                <w:b w:val="false"/>
                <w:i w:val="false"/>
                <w:color w:val="000000"/>
                <w:sz w:val="20"/>
              </w:rPr>
              <w:t>
-сот-сараптама мәселелері бойынша теле бағдарламаларға қатысу</w:t>
            </w:r>
          </w:p>
          <w:p>
            <w:pPr>
              <w:spacing w:after="20"/>
              <w:ind w:left="20"/>
              <w:jc w:val="both"/>
            </w:pPr>
            <w:r>
              <w:rPr>
                <w:rFonts w:ascii="Times New Roman"/>
                <w:b w:val="false"/>
                <w:i w:val="false"/>
                <w:color w:val="000000"/>
                <w:sz w:val="20"/>
              </w:rPr>
              <w:t>
- газеттерде және мамандандырылмаған журналдардағы жарияланымдар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әзірлеу және практикалық қызметке енгізу:</w:t>
            </w:r>
          </w:p>
          <w:p>
            <w:pPr>
              <w:spacing w:after="20"/>
              <w:ind w:left="20"/>
              <w:jc w:val="both"/>
            </w:pPr>
            <w:r>
              <w:rPr>
                <w:rFonts w:ascii="Times New Roman"/>
                <w:b w:val="false"/>
                <w:i w:val="false"/>
                <w:color w:val="000000"/>
                <w:sz w:val="20"/>
              </w:rPr>
              <w:t>
- Моно-авторлық / бірінші автор</w:t>
            </w:r>
          </w:p>
          <w:p>
            <w:pPr>
              <w:spacing w:after="20"/>
              <w:ind w:left="20"/>
              <w:jc w:val="both"/>
            </w:pPr>
            <w:r>
              <w:rPr>
                <w:rFonts w:ascii="Times New Roman"/>
                <w:b w:val="false"/>
                <w:i w:val="false"/>
                <w:color w:val="000000"/>
                <w:sz w:val="20"/>
              </w:rPr>
              <w:t>
-Бірлескен авторлық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