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2612" w14:textId="b672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тасымалдаумен байланысты тасымалдау үдерісін, операцияларды жүзеге асыру, құжаттарды ресімдеу және актілерді жасау, арнайы зерттеулер мен сараптамалар жүргізуді жоспарлаудың технологиясы мен қағидаларын бекіту туралы" Қазақстан Республикасы Көлік және коммуникация министрінің міндетін атқарушының 2011 жылғы 10 желтоқсандағы № 726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сәуірдегі № 231 бұйрығы. Қазақстан Республикасының Әділет министрлігінде 2017 жылғы 11 мамырдағы № 15109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"Жүк тасымалдаумен байланысты тасымалдау үдерісін, операцияларды жүзеге асыру, құжаттарды ресімдеу және актілерді жасау, арнайы зерттеулер мен сараптамалар жүргізуді жоспарлаудың технологиясы мен қағидаларын бекіту туралы" Қазақстан Республикасы Көлік және коммуникация министрінің міндетін атқарушының 2011 жылғы 10 желтоқсандағы № 726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7364 болып тіркелген, "Егемен Қазақстан" газетінің 2012 жылғы 5, 19, 23 маусымда және 10, 24, 28 тамызда № 292-297, 330-335, 339-345, 489-494, 546-550, 557-561 (27371, 27409, 27419, 27567, 27623, 27634)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