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41fe" w14:textId="5714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федерацияларын аккредиттеу қағидаларын бекіту туралы" Қазақстан Республикасы Мәдениет және спорт министрінің 2014 жылғы 27 қарашадағы № 121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12 мамырдағы № 126 бұйрығы. Қазақстан Республикасының Әділет министрлігінде 2017 жылғы 13 маусымда № 15216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"Әділет" ақпараттық-құқықтық жүйесінде 2015 жылғы 5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үшінші бөлімі мынадай редакцияда жазылсын:</w:t>
      </w:r>
    </w:p>
    <w:bookmarkStart w:name="z5" w:id="3"/>
    <w:p>
      <w:pPr>
        <w:spacing w:after="0"/>
        <w:ind w:left="0"/>
        <w:jc w:val="both"/>
      </w:pPr>
      <w:r>
        <w:rPr>
          <w:rFonts w:ascii="Times New Roman"/>
          <w:b w:val="false"/>
          <w:i w:val="false"/>
          <w:color w:val="000000"/>
          <w:sz w:val="28"/>
        </w:rPr>
        <w:t xml:space="preserve">
      "Спорт түрі (түрлері) бойынша кешенді нысаналы бағдарламаны республикалық және өңірлік аккредиттелген спорт федерациясы әзірлейді және "Дене шынықтыру және спорт туралы" 2014 жылғы 3 шілдедегі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22) тармақшасына сәйкес уәкілетті орган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"1) аккредиттелген спорт федерациясы Заңның 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және "Қоғамдық бірлестіктер туралы" 1996 жылғы 31 мамырдағы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белгіленген талаптарды орындамауы немесе дұрыс орындамауы;".</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бұйрықтың көшірмесін ресми жариялау үшін мерзімді баспасөз басылымға жіберілуін;</w:t>
      </w:r>
    </w:p>
    <w:bookmarkEnd w:id="8"/>
    <w:bookmarkStart w:name="z12" w:id="9"/>
    <w:p>
      <w:pPr>
        <w:spacing w:after="0"/>
        <w:ind w:left="0"/>
        <w:jc w:val="both"/>
      </w:pPr>
      <w:r>
        <w:rPr>
          <w:rFonts w:ascii="Times New Roman"/>
          <w:b w:val="false"/>
          <w:i w:val="false"/>
          <w:color w:val="000000"/>
          <w:sz w:val="28"/>
        </w:rPr>
        <w:t>
      4) осы бұйрықтың Қазақстан Республикасы Мәдениет және спорт министрлігінің интернет-ресурсында орналастырылуын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