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4d297" w14:textId="ca4d2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11 мамырдағы № 197 бұйрығы. Қазақстан Республикасының Әділет министрлігінде 2017 жылғы 16 маусымда № 15231 болып тіркелді.</w:t>
      </w:r>
    </w:p>
    <w:p>
      <w:pPr>
        <w:spacing w:after="0"/>
        <w:ind w:left="0"/>
        <w:jc w:val="left"/>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Қазақстан Республикасы Ауыл шаруашылығы министрлігінің кейбір бұйрықтарына мынадай өзгерістер енгізілсін: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Премьер-Министрінің орынбасары – ҚР Ауыл шаруашылығы министрінің 21.08.2017 </w:t>
      </w:r>
      <w:r>
        <w:rPr>
          <w:rFonts w:ascii="Times New Roman"/>
          <w:b w:val="false"/>
          <w:i w:val="false"/>
          <w:color w:val="ff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 xml:space="preserve">2) "Қазақстан Республикасының жануарлар дүниесін қорғау, өсімін молайту және пайдалану саласындағы заңнамасын бұзумен келтірілген зиянның орнын толтыру мөлшерін бекіту туралы" Қазақстан Республикасы Ауыл шаруашылығы министрінің міндетін атқарушының 2015 жылғы 27 ақпандағы № 18-03/158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10929 болып тіркелген, 2015 жылғы 13 мамырда "Әділет" ақпараттық-құқықтық жүйесінде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бұйрықпен бекітілген Қазақстан Республикасының жануарлар дүниесін қорғау, өсімін молайту және пайдалану саласындағы заңнамасын бұзумен келтірілген зиянның орнын толтыру </w:t>
      </w:r>
      <w:r>
        <w:rPr>
          <w:rFonts w:ascii="Times New Roman"/>
          <w:b w:val="false"/>
          <w:i w:val="false"/>
          <w:color w:val="000000"/>
          <w:sz w:val="28"/>
        </w:rPr>
        <w:t>мөлшерінде</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"Жердегі сүт қоректілер" бөлімінде реттік нөмірі 14-жол мынадай редакцияда жазылсын: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8"/>
        <w:gridCol w:w="2008"/>
        <w:gridCol w:w="4034"/>
      </w:tblGrid>
      <w:tr>
        <w:trPr>
          <w:trHeight w:val="30" w:hRule="atLeast"/>
        </w:trPr>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 кірпі </w:t>
            </w: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реттік нөмірлері 16 және 17-жолдар мынадай редакцияда жазылсын: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697"/>
        <w:gridCol w:w="6683"/>
      </w:tblGrid>
      <w:tr>
        <w:trPr>
          <w:trHeight w:val="3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Доңыз</w:t>
            </w: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Құдыр</w:t>
            </w: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реттік нөмірлері 19 және 20-жолдар мынадай редакцияда жазылсын: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3"/>
        <w:gridCol w:w="2151"/>
        <w:gridCol w:w="5846"/>
      </w:tblGrid>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Құндыз жарғанаты</w:t>
            </w:r>
            <w:r>
              <w:br/>
            </w:r>
            <w:r>
              <w:rPr>
                <w:rFonts w:ascii="Times New Roman"/>
                <w:b w:val="false"/>
                <w:i w:val="false"/>
                <w:color w:val="000000"/>
                <w:sz w:val="20"/>
              </w:rPr>
              <w:t>
</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Сібір тау текесі</w:t>
            </w:r>
            <w:r>
              <w:br/>
            </w:r>
            <w:r>
              <w:rPr>
                <w:rFonts w:ascii="Times New Roman"/>
                <w:b w:val="false"/>
                <w:i w:val="false"/>
                <w:color w:val="000000"/>
                <w:sz w:val="20"/>
              </w:rPr>
              <w:t>
</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реттік нөмірі 23-жол мынадай редакцияда жазылсын: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697"/>
        <w:gridCol w:w="6683"/>
      </w:tblGrid>
      <w:tr>
        <w:trPr>
          <w:trHeight w:val="3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Елік</w:t>
            </w: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реттік нөмірі 30-жол мынадай редакцияда жазылсын: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697"/>
        <w:gridCol w:w="6683"/>
      </w:tblGrid>
      <w:tr>
        <w:trPr>
          <w:trHeight w:val="3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Бұлан</w:t>
            </w: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реттік нөмірі 41-жол мынадай редакцияда жазылсын: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8"/>
        <w:gridCol w:w="2008"/>
        <w:gridCol w:w="4034"/>
      </w:tblGrid>
      <w:tr>
        <w:trPr>
          <w:trHeight w:val="30" w:hRule="atLeast"/>
        </w:trPr>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 жертесер</w:t>
            </w: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 </w:t>
      </w:r>
      <w:r>
        <w:br/>
      </w:r>
      <w:r>
        <w:rPr>
          <w:rFonts w:ascii="Times New Roman"/>
          <w:b w:val="false"/>
          <w:i w:val="false"/>
          <w:color w:val="000000"/>
          <w:sz w:val="28"/>
        </w:rPr>
        <w:t xml:space="preserve">
      </w:t>
      </w:r>
      <w:r>
        <w:rPr>
          <w:rFonts w:ascii="Times New Roman"/>
          <w:b w:val="false"/>
          <w:i w:val="false"/>
          <w:color w:val="000000"/>
          <w:sz w:val="28"/>
        </w:rPr>
        <w:t>реттік нөмірлері 46 және 47-жолдар мынадай редакцияда жазылсын: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2"/>
        <w:gridCol w:w="3757"/>
        <w:gridCol w:w="4921"/>
      </w:tblGrid>
      <w:tr>
        <w:trPr>
          <w:trHeight w:val="30" w:hRule="atLeast"/>
        </w:trPr>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Серке киік*</w:t>
            </w: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Ұрғашы киік, төлі*</w:t>
            </w: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"Құстар" бөлімінде реттік нөмірі 94-жол мынадай редакцияда жазылсын: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6"/>
        <w:gridCol w:w="975"/>
        <w:gridCol w:w="4439"/>
      </w:tblGrid>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Қасқалдақ</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реттік нөмірі 101-жол мынадай редакцияда жазылсын: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812"/>
        <w:gridCol w:w="3697"/>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Бөдене</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реттік нөмірі 103-жол мынадай редакцияда жазылсын: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812"/>
        <w:gridCol w:w="3697"/>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Сұқсыр</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реттік нөмірі 107-жол мынадай редакцияда жазылсын: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0"/>
        <w:gridCol w:w="1698"/>
        <w:gridCol w:w="3412"/>
      </w:tblGrid>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Қарабауыр шіл</w:t>
            </w: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реттік нөмірі 111-жол мынадай редакцияда жазылсын: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6"/>
        <w:gridCol w:w="4918"/>
        <w:gridCol w:w="2376"/>
      </w:tblGrid>
      <w:tr>
        <w:trPr>
          <w:trHeight w:val="30" w:hRule="atLeast"/>
        </w:trPr>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Жапалақ, байғыз (үкіден басқа)</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реттік нөмірі 115 және 116-жолдар мынадай редакцияда жазылсын: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1"/>
        <w:gridCol w:w="5633"/>
        <w:gridCol w:w="2146"/>
      </w:tblGrid>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Үйректер (Қазақстан Республикасының Қызыл кітабына енгізілгенінен басқасы)</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Қырғауыл</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 ;</w:t>
      </w:r>
      <w:r>
        <w:br/>
      </w:r>
      <w:r>
        <w:rPr>
          <w:rFonts w:ascii="Times New Roman"/>
          <w:b w:val="false"/>
          <w:i w:val="false"/>
          <w:color w:val="000000"/>
          <w:sz w:val="28"/>
        </w:rPr>
        <w:t xml:space="preserve">
      </w:t>
      </w:r>
      <w:r>
        <w:rPr>
          <w:rFonts w:ascii="Times New Roman"/>
          <w:b w:val="false"/>
          <w:i w:val="false"/>
          <w:color w:val="000000"/>
          <w:sz w:val="28"/>
        </w:rPr>
        <w:t xml:space="preserve">"Балық, теңіз сүтқоректілері және су омыртқасыздарының түрлері" бөлімінде реттік нөмірлері 141, 142, 143, 144, 145, 146, 147, 148, 149, 150, 151, 152, 153 және 154-жолдар мынадай редакцияда жазылсын: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0817"/>
        <w:gridCol w:w="670"/>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Сырдариялық жауырындық*, волга көп аталықты майшабағы*, шортан тектес ақмарқа*, каспий және арал албырты*, ақбалық*, сылан*, күтім*, арал және түркістан қаязы*, іле шармай*, каспий жыланбалығы*, таймень*, балқаш алабұғасы* - балқаш және іле таралымы, пілмай* - арал және іле таралымы, сiбip бeкipeci*, шатқалдық тас тасалағыш*, ұзын бармақты шаян* (түркістан түр тармағы) (бір дарақ үшін)*</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Қортпа, уылдырықты пілмай (бір килограмм үшін)</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Қортпа, пілмай қысыры (бір килограмм үшін)</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Бекіре (сiбip бeкipeciнен басқа), шоқыр, бекіренің уылдырықты будандары (бір килограмм үшін)</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Бекіре, шоқыр, бекіренің қысыр будандары (бір килограмм үшін)</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Сүйрік (бір килограмм үшін)</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Ақсақа, көкшұбар, көкшарбы, пайдабалық, шыр, мұқсын (бір килограмм үшін)</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 амур, көксерке, сазан, тұқы, ақмарқа, беріш, кәдiмгi жайын, нәлім, ақ және шұбар дөңмаңдай, шортан, жыланбас балық (бір килограмм үшін)</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Табан, торта, қаракөз, тұрпа, майбалық, көкбас, қызылкөз қабыршықты және тақыр, аққайран, алтын және күміс мөңкелер, әдеттегi және балқаш (балқаш-іле таралымынан басқа) алабұғасы, оңғақ, әдеттегi және талас тарғақбалығы, қызылқанат, балпан, білеу балық, айнакөз балық, көкше, қылыш балық, буффало, кәдімгі шармай (бір килограмм үшін)</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Майшабақтар (қарынсау (бадырақкөзді және жұмырбасты қосқанда), бражник май шабағы, долгы май шабағы, қара жон, тікенді балық, жалғанкөз-глосса, майшабақ (бір килограмм үшін)</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Албырттар (қызғылт сары бахтах, майқан (үскіш), сібір хариусы) (бір килограмм үшін)</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Каспий итбалығы (бір дарақ үшін)</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Ұзын бармақты шаян (түркістан түр тармағынан басқа) (бір килограмм үшін)</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Салин артемиясының цисталары және басқа су омыртқасыздары - гаммарус, масақұрт, ақ құрттар (шикі өнімнің бір килограмм үшін)</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мөлшерлерге </w:t>
      </w:r>
      <w:r>
        <w:rPr>
          <w:rFonts w:ascii="Times New Roman"/>
          <w:b w:val="false"/>
          <w:i w:val="false"/>
          <w:color w:val="000000"/>
          <w:sz w:val="28"/>
        </w:rPr>
        <w:t>ескертпелер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"Ескертпелер:</w:t>
      </w:r>
      <w:r>
        <w:br/>
      </w:r>
      <w:r>
        <w:rPr>
          <w:rFonts w:ascii="Times New Roman"/>
          <w:b w:val="false"/>
          <w:i w:val="false"/>
          <w:color w:val="000000"/>
          <w:sz w:val="28"/>
        </w:rPr>
        <w:t>
      * Қазақстан Республикасының Қызыл кітабына енгізілген түрлерге жататын жануарлар, сондай-ақ ғылыми мақсаттарда пайдаланудан басқа, пайдалануға тыйым салынған түрлер:</w:t>
      </w:r>
      <w:r>
        <w:br/>
      </w:r>
      <w:r>
        <w:rPr>
          <w:rFonts w:ascii="Times New Roman"/>
          <w:b w:val="false"/>
          <w:i w:val="false"/>
          <w:color w:val="000000"/>
          <w:sz w:val="28"/>
        </w:rPr>
        <w:t>
      әрбір заңсыз жойылған (бүлдірілген) жануарлардың мекен ететін ұясы, іні, апаны және басқа да баспаналары үшін келтірілген нұқсан он айлық есептік көрсеткіш мөлшерінде өндіріп алынады;</w:t>
      </w:r>
      <w:r>
        <w:br/>
      </w:r>
      <w:r>
        <w:rPr>
          <w:rFonts w:ascii="Times New Roman"/>
          <w:b w:val="false"/>
          <w:i w:val="false"/>
          <w:color w:val="000000"/>
          <w:sz w:val="28"/>
        </w:rPr>
        <w:t>
      әрбір заңсыз алынған (жойылған) жұмыртқа, сондай-ақ әрбір заңсыз алынған немесе жойылған сүт қоректілер аналығының ұрығы үшін жануарлардың осы түрінің ересек дарағы (аналығы) үшін келтірілген ңұқсанды өтеу мөлшерінің 50 пайызы (айлық есептік көрсеткіштермен) өндіріп алынады;</w:t>
      </w:r>
      <w:r>
        <w:br/>
      </w:r>
      <w:r>
        <w:rPr>
          <w:rFonts w:ascii="Times New Roman"/>
          <w:b w:val="false"/>
          <w:i w:val="false"/>
          <w:color w:val="000000"/>
          <w:sz w:val="28"/>
        </w:rPr>
        <w:t xml:space="preserve">
      Қазақстан Республикасы Ауыл шаруашылығы министрінің 2015 жылғы 16 ақпандағы № 18-03/105 бұйрығымен (Нормативтік құқықтық актілерді мемлекеттік тіркеу тізілімінде № 10482 болып тіркелген) бекітілген Дериваттар </w:t>
      </w:r>
      <w:r>
        <w:rPr>
          <w:rFonts w:ascii="Times New Roman"/>
          <w:b w:val="false"/>
          <w:i w:val="false"/>
          <w:color w:val="000000"/>
          <w:sz w:val="28"/>
        </w:rPr>
        <w:t>тізбесіне</w:t>
      </w:r>
      <w:r>
        <w:rPr>
          <w:rFonts w:ascii="Times New Roman"/>
          <w:b w:val="false"/>
          <w:i w:val="false"/>
          <w:color w:val="000000"/>
          <w:sz w:val="28"/>
        </w:rPr>
        <w:t xml:space="preserve"> сәйкес, әрбір заңсыз алынған немесе сатып алынған дериват, оның ішінде әрбір 100 грамм уылдырық үшін жануарлардың осы түрінің ересек дарағы (аталығы немесе аналығы) үшін келтірілген ңұқсанды өтеу мөлшерінің 100 пайызы (айлық есептік көрсеткіштермен) өндіріп алынады.".</w:t>
      </w:r>
      <w:r>
        <w:br/>
      </w:r>
      <w:r>
        <w:rPr>
          <w:rFonts w:ascii="Times New Roman"/>
          <w:b w:val="false"/>
          <w:i w:val="false"/>
          <w:color w:val="000000"/>
          <w:sz w:val="28"/>
        </w:rPr>
        <w:t xml:space="preserve">
      </w:t>
      </w:r>
      <w:r>
        <w:rPr>
          <w:rFonts w:ascii="Times New Roman"/>
          <w:b w:val="false"/>
          <w:i w:val="false"/>
          <w:color w:val="000000"/>
          <w:sz w:val="28"/>
        </w:rPr>
        <w:t xml:space="preserve">3. Қазақстан Республикасы Ауыл шаруашылығы министрлігінің Орман шаруашылығы және жануарлар дүниесі комитеті заңнамада белгіленген тәртіппен: </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бұйрықтың мемлекеттік тіркелген күнінен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r>
        <w:br/>
      </w:r>
      <w:r>
        <w:rPr>
          <w:rFonts w:ascii="Times New Roman"/>
          <w:b w:val="false"/>
          <w:i w:val="false"/>
          <w:color w:val="000000"/>
          <w:sz w:val="28"/>
        </w:rPr>
        <w:t>
      3) осы бұйрықтың мемлекеттік тіркелгеннен кейін күнтізбелік он күн ішінде оның көшірмесінің мерзімді баспа басылымдарына ресми жариялауға жіберілуін;</w:t>
      </w:r>
      <w:r>
        <w:br/>
      </w: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r>
        <w:br/>
      </w:r>
      <w:r>
        <w:rPr>
          <w:rFonts w:ascii="Times New Roman"/>
          <w:b w:val="false"/>
          <w:i w:val="false"/>
          <w:color w:val="000000"/>
          <w:sz w:val="28"/>
        </w:rPr>
        <w:t xml:space="preserve">
      </w:t>
      </w:r>
      <w:r>
        <w:rPr>
          <w:rFonts w:ascii="Times New Roman"/>
          <w:b w:val="false"/>
          <w:i w:val="false"/>
          <w:color w:val="000000"/>
          <w:sz w:val="28"/>
        </w:rPr>
        <w:t>4. Осы бұйрық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Премьер-Министрінің орынбасары – </w:t>
            </w:r>
            <w:r>
              <w:br/>
            </w:r>
            <w:r>
              <w:rPr>
                <w:rFonts w:ascii="Times New Roman"/>
                <w:b w:val="false"/>
                <w:i/>
                <w:color w:val="000000"/>
                <w:sz w:val="20"/>
              </w:rPr>
              <w:t>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Қаржы министрі</w:t>
      </w:r>
      <w:r>
        <w:br/>
      </w:r>
      <w:r>
        <w:rPr>
          <w:rFonts w:ascii="Times New Roman"/>
          <w:b w:val="false"/>
          <w:i w:val="false"/>
          <w:color w:val="000000"/>
          <w:sz w:val="28"/>
        </w:rPr>
        <w:t>
      ______________Б. Сұлтанов</w:t>
      </w:r>
      <w:r>
        <w:br/>
      </w:r>
      <w:r>
        <w:rPr>
          <w:rFonts w:ascii="Times New Roman"/>
          <w:b w:val="false"/>
          <w:i w:val="false"/>
          <w:color w:val="000000"/>
          <w:sz w:val="28"/>
        </w:rPr>
        <w:t>
      2017 жылғы 15 мамыр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11 мамырдағы</w:t>
            </w:r>
            <w:r>
              <w:br/>
            </w:r>
            <w:r>
              <w:rPr>
                <w:rFonts w:ascii="Times New Roman"/>
                <w:b w:val="false"/>
                <w:i w:val="false"/>
                <w:color w:val="000000"/>
                <w:sz w:val="20"/>
              </w:rPr>
              <w:t>№ 197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Балық ресурстарына келтірілетін</w:t>
            </w:r>
            <w:r>
              <w:br/>
            </w:r>
            <w:r>
              <w:rPr>
                <w:rFonts w:ascii="Times New Roman"/>
                <w:b w:val="false"/>
                <w:i w:val="false"/>
                <w:color w:val="000000"/>
                <w:sz w:val="20"/>
              </w:rPr>
              <w:t>және келтірілген, оның ішінде</w:t>
            </w:r>
            <w:r>
              <w:br/>
            </w:r>
            <w:r>
              <w:rPr>
                <w:rFonts w:ascii="Times New Roman"/>
                <w:b w:val="false"/>
                <w:i w:val="false"/>
                <w:color w:val="000000"/>
                <w:sz w:val="20"/>
              </w:rPr>
              <w:t>болмай қоймайтын зиянды</w:t>
            </w:r>
            <w:r>
              <w:br/>
            </w:r>
            <w:r>
              <w:rPr>
                <w:rFonts w:ascii="Times New Roman"/>
                <w:b w:val="false"/>
                <w:i w:val="false"/>
                <w:color w:val="000000"/>
                <w:sz w:val="20"/>
              </w:rPr>
              <w:t>өтеудің орнын толтыру</w:t>
            </w:r>
            <w:r>
              <w:br/>
            </w:r>
            <w:r>
              <w:rPr>
                <w:rFonts w:ascii="Times New Roman"/>
                <w:b w:val="false"/>
                <w:i w:val="false"/>
                <w:color w:val="000000"/>
                <w:sz w:val="20"/>
              </w:rPr>
              <w:t>әдістемесіне</w:t>
            </w:r>
            <w:r>
              <w:br/>
            </w:r>
            <w:r>
              <w:rPr>
                <w:rFonts w:ascii="Times New Roman"/>
                <w:b w:val="false"/>
                <w:i w:val="false"/>
                <w:color w:val="000000"/>
                <w:sz w:val="20"/>
              </w:rPr>
              <w:t>6-қосымша</w:t>
            </w:r>
          </w:p>
        </w:tc>
      </w:tr>
    </w:tbl>
    <w:bookmarkStart w:name="z57" w:id="0"/>
    <w:p>
      <w:pPr>
        <w:spacing w:after="0"/>
        <w:ind w:left="0"/>
        <w:jc w:val="left"/>
      </w:pPr>
      <w:r>
        <w:rPr>
          <w:rFonts w:ascii="Times New Roman"/>
          <w:b/>
          <w:i w:val="false"/>
          <w:color w:val="000000"/>
        </w:rPr>
        <w:t xml:space="preserve"> 7 кесте – Ихтиофаунаның биологиялық көрсеткіштері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566"/>
        <w:gridCol w:w="1351"/>
        <w:gridCol w:w="1863"/>
        <w:gridCol w:w="1395"/>
        <w:gridCol w:w="1523"/>
        <w:gridCol w:w="971"/>
        <w:gridCol w:w="1480"/>
        <w:gridCol w:w="1480"/>
      </w:tblGrid>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түрлері</w:t>
            </w:r>
            <w:r>
              <w:br/>
            </w:r>
            <w:r>
              <w:rPr>
                <w:rFonts w:ascii="Times New Roman"/>
                <w:b w:val="false"/>
                <w:i w:val="false"/>
                <w:color w:val="000000"/>
                <w:sz w:val="20"/>
              </w:rPr>
              <w:t>
</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кездесуі, % %</w:t>
            </w:r>
            <w:r>
              <w:br/>
            </w:r>
            <w:r>
              <w:rPr>
                <w:rFonts w:ascii="Times New Roman"/>
                <w:b w:val="false"/>
                <w:i w:val="false"/>
                <w:color w:val="000000"/>
                <w:sz w:val="20"/>
              </w:rPr>
              <w:t>
</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салмағы, кг</w:t>
            </w:r>
            <w:r>
              <w:br/>
            </w:r>
            <w:r>
              <w:rPr>
                <w:rFonts w:ascii="Times New Roman"/>
                <w:b w:val="false"/>
                <w:i w:val="false"/>
                <w:color w:val="000000"/>
                <w:sz w:val="20"/>
              </w:rPr>
              <w:t>
</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ұрықшылдығы, дана, уылдырық*</w:t>
            </w:r>
            <w:r>
              <w:br/>
            </w:r>
            <w:r>
              <w:rPr>
                <w:rFonts w:ascii="Times New Roman"/>
                <w:b w:val="false"/>
                <w:i w:val="false"/>
                <w:color w:val="000000"/>
                <w:sz w:val="20"/>
              </w:rPr>
              <w:t>
</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Үйірдегі аналық саны, %*</w:t>
            </w:r>
            <w:r>
              <w:br/>
            </w:r>
            <w:r>
              <w:rPr>
                <w:rFonts w:ascii="Times New Roman"/>
                <w:b w:val="false"/>
                <w:i w:val="false"/>
                <w:color w:val="000000"/>
                <w:sz w:val="20"/>
              </w:rPr>
              <w:t>
</w:t>
            </w: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Уылдырықтан түсетін өндірістік қайтарым, %*</w:t>
            </w:r>
            <w:r>
              <w:br/>
            </w:r>
            <w:r>
              <w:rPr>
                <w:rFonts w:ascii="Times New Roman"/>
                <w:b w:val="false"/>
                <w:i w:val="false"/>
                <w:color w:val="000000"/>
                <w:sz w:val="20"/>
              </w:rPr>
              <w:t>
</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шашу еселігі, рет*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бұзу кезіндегі 1 кг балық өнімінің орын толтыру мөлшері***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 1618 теңге</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Бекіре тұқымдастар</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245 500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Майшабақ тұқымдастар</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0,132</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Ақмарқа</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0,611</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Тұқы-сазан</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9,055</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530 000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Тыран</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0,249</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 (қаракөз)</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69,88</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0,067</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"Ескертпе:</w:t>
            </w:r>
            <w:r>
              <w:br/>
            </w:r>
            <w:r>
              <w:rPr>
                <w:rFonts w:ascii="Times New Roman"/>
                <w:b w:val="false"/>
                <w:i w:val="false"/>
                <w:color w:val="000000"/>
                <w:sz w:val="20"/>
              </w:rPr>
              <w:t>
Үйірдегі аналықтардың орташа өсімталдығы, үлесі, уылдырықтан кәсіпшілік қайтарым және уылдырық шашудың еселігі 3-қосымшаның деректері бойынша пайдаланылды.</w:t>
            </w:r>
            <w:r>
              <w:br/>
            </w:r>
            <w:r>
              <w:rPr>
                <w:rFonts w:ascii="Times New Roman"/>
                <w:b w:val="false"/>
                <w:i w:val="false"/>
                <w:color w:val="000000"/>
                <w:sz w:val="20"/>
              </w:rPr>
              <w:t>
Заңнаманы бұзу кезінде 1 кг балық өнімі үшін өтемақы мөлшері Бұйрыққа сәйкес анықталады.";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Әдіске сәйкес суда еріген мұнай планктонға 1 жыл бойы әсер етеді, бентосқа 3 жыл.</w:t>
      </w:r>
      <w:r>
        <w:br/>
      </w:r>
      <w:r>
        <w:rPr>
          <w:rFonts w:ascii="Times New Roman"/>
          <w:b w:val="false"/>
          <w:i w:val="false"/>
          <w:color w:val="000000"/>
          <w:sz w:val="28"/>
        </w:rPr>
        <w:t>
      Мұнай сіңіп кеткен су асты шөгінділері планктонға топырақты рекультивация жасаған жағдайда ғана әсер етпейді, егерде бұндай жұмыстар жүргізілмесе планктонға 5 жыл әсері күтіледі. Бентос рекультивация жасалғаннан кейін, қайта өз қалпына 2 жыл ішінде келуі мүмкін, рекультивация жасалмаған жағдайда толықтай өз қалпына келу үшін 7 жыл қажет. Шөгіп қалған сорбенттер және мұнайдың қалдықтары бентосқа 5 жыл бойы әсерін тигізеді.</w:t>
      </w:r>
      <w:r>
        <w:br/>
      </w:r>
      <w:r>
        <w:rPr>
          <w:rFonts w:ascii="Times New Roman"/>
          <w:b w:val="false"/>
          <w:i w:val="false"/>
          <w:color w:val="000000"/>
          <w:sz w:val="28"/>
        </w:rPr>
        <w:t>
      Есептеулер бойынша суда еріген мұнай өнімдерінің фито-, зоопланктонға тікелей әсері 1 жылға, ал қосымша әсері 5 жылға дейін болады деп болжамдалады. Су асты ағзаларға (бентос) 1-2 жыл бойы тікелей ауданда және 7 жылға дейін қосымша ауданда әсер етеді.</w:t>
      </w:r>
      <w:r>
        <w:br/>
      </w:r>
      <w:r>
        <w:rPr>
          <w:rFonts w:ascii="Times New Roman"/>
          <w:b w:val="false"/>
          <w:i w:val="false"/>
          <w:color w:val="000000"/>
          <w:sz w:val="28"/>
        </w:rPr>
        <w:t>
</w:t>
      </w:r>
    </w:p>
    <w:bookmarkStart w:name="z58" w:id="1"/>
    <w:p>
      <w:pPr>
        <w:spacing w:after="0"/>
        <w:ind w:left="0"/>
        <w:jc w:val="left"/>
      </w:pPr>
      <w:r>
        <w:rPr>
          <w:rFonts w:ascii="Times New Roman"/>
          <w:b/>
          <w:i w:val="false"/>
          <w:color w:val="000000"/>
        </w:rPr>
        <w:t xml:space="preserve"> Балық қорына келтірілген залалды есептеу</w:t>
      </w:r>
    </w:p>
    <w:bookmarkEnd w:id="1"/>
    <w:p>
      <w:pPr>
        <w:spacing w:after="0"/>
        <w:ind w:left="0"/>
        <w:jc w:val="left"/>
      </w:pPr>
      <w:r>
        <w:rPr>
          <w:rFonts w:ascii="Times New Roman"/>
          <w:b w:val="false"/>
          <w:i w:val="false"/>
          <w:color w:val="000000"/>
          <w:sz w:val="28"/>
        </w:rPr>
        <w:t>      1 нұсқа. 5 тонна дизель отыны төгілген апаттан балық қорына мүмкін болатын залалын есептеу үшін 5-6 кестелерде ұсынылған төгілу көрсеткіштері қолданылды.</w:t>
      </w:r>
      <w:r>
        <w:br/>
      </w:r>
      <w:r>
        <w:rPr>
          <w:rFonts w:ascii="Times New Roman"/>
          <w:b w:val="false"/>
          <w:i w:val="false"/>
          <w:color w:val="000000"/>
          <w:sz w:val="28"/>
        </w:rPr>
        <w:t>
      Алынған нәтижелерге сәйкес, дизель отыны төгілген дақтың жалпы акваторияны алатын мөлшер көлемі жағдай қиындағанда 1024999 м</w:t>
      </w:r>
      <w:r>
        <w:rPr>
          <w:rFonts w:ascii="Times New Roman"/>
          <w:b w:val="false"/>
          <w:i w:val="false"/>
          <w:color w:val="000000"/>
          <w:vertAlign w:val="superscript"/>
        </w:rPr>
        <w:t>3</w:t>
      </w:r>
      <w:r>
        <w:rPr>
          <w:rFonts w:ascii="Times New Roman"/>
          <w:b w:val="false"/>
          <w:i w:val="false"/>
          <w:color w:val="000000"/>
          <w:sz w:val="28"/>
        </w:rPr>
        <w:t xml:space="preserve"> құрайды, су асты ағзаларына әсер ететін ауданы - 3301 м</w:t>
      </w:r>
      <w:r>
        <w:rPr>
          <w:rFonts w:ascii="Times New Roman"/>
          <w:b w:val="false"/>
          <w:i w:val="false"/>
          <w:color w:val="000000"/>
          <w:vertAlign w:val="superscript"/>
        </w:rPr>
        <w:t>2</w:t>
      </w:r>
      <w:r>
        <w:rPr>
          <w:rFonts w:ascii="Times New Roman"/>
          <w:b w:val="false"/>
          <w:i w:val="false"/>
          <w:color w:val="000000"/>
          <w:sz w:val="28"/>
        </w:rPr>
        <w:t>, теңіз биологиялық ресурстарына кері әсерін тигізеді.</w:t>
      </w:r>
      <w:r>
        <w:br/>
      </w:r>
      <w:r>
        <w:rPr>
          <w:rFonts w:ascii="Times New Roman"/>
          <w:b w:val="false"/>
          <w:i w:val="false"/>
          <w:color w:val="000000"/>
          <w:sz w:val="28"/>
        </w:rPr>
        <w:t>
      Көптеген балық түрлері қоршаған ортаның өзгеруіне сезімтал болып келеді және қатты ластанған жерден кете алады, осылай, қырылуды немесе қатты интоксикацияны болдырмайды. Ересек балықтардың апаттық дизель отынының төгілуі нәтижесінде қырылуы, қабылданған сценарийде болжамбағандықтан, залалдың ақшалай есептеу жүргізілмеді.</w:t>
      </w:r>
      <w:r>
        <w:br/>
      </w:r>
      <w:r>
        <w:rPr>
          <w:rFonts w:ascii="Times New Roman"/>
          <w:b w:val="false"/>
          <w:i w:val="false"/>
          <w:color w:val="000000"/>
          <w:sz w:val="28"/>
        </w:rPr>
        <w:t>
      Апаттық төгілу кезінде азықтық гидробионттардың қырылуын болдырмау мүмкін болмағандықтан, төменде балық қорларына келтіретін залалдың өтемақылық есептеулері берілген. Атқарылған есептеулерде ең жаман әсер болады деп алынды, басқа сөзбен айтқанда, гидробионттарға ластану көп уақыт әсер етсе 100 % қырылуы болады.</w:t>
      </w:r>
      <w:r>
        <w:br/>
      </w:r>
      <w:r>
        <w:rPr>
          <w:rFonts w:ascii="Times New Roman"/>
          <w:b w:val="false"/>
          <w:i w:val="false"/>
          <w:color w:val="000000"/>
          <w:sz w:val="28"/>
        </w:rPr>
        <w:t>
      Жемдік ағзалардың биосалмағын балық өнімдері биосалмағына аудару параметрлері бойынша деректер апаттық мұнайдың төгілуі туралы әдістемеден алынып (Қосымша 2, Қосымша 4 және 6-7 кестелер) 8 кестеде көрсетілген.</w:t>
      </w:r>
      <w:r>
        <w:br/>
      </w:r>
      <w:r>
        <w:rPr>
          <w:rFonts w:ascii="Times New Roman"/>
          <w:b w:val="false"/>
          <w:i w:val="false"/>
          <w:color w:val="000000"/>
          <w:sz w:val="28"/>
        </w:rPr>
        <w:t>
      Қырылған гидробионттар мен балық өнімдеріне аударылған есептеулер 9 кестеде көрсетілген.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