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68e2" w14:textId="ffe6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11 қыркүйектегі № 455 бұйрығы. Қазақстан Республикасының Әділет министрлігінде 2017 жылғы 28 қыркүйекте № 15771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8880 болып тіркелген, "Егемен Қазақстан" газетінің 2013 жылғы 11 желтоқсандағы № 272 (28211)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пайдаланылатын негізгі ұғымдар:</w:t>
      </w:r>
    </w:p>
    <w:bookmarkEnd w:id="4"/>
    <w:p>
      <w:pPr>
        <w:spacing w:after="0"/>
        <w:ind w:left="0"/>
        <w:jc w:val="both"/>
      </w:pPr>
      <w:r>
        <w:rPr>
          <w:rFonts w:ascii="Times New Roman"/>
          <w:b w:val="false"/>
          <w:i w:val="false"/>
          <w:color w:val="000000"/>
          <w:sz w:val="28"/>
        </w:rPr>
        <w:t>
      1) академиялық демалыс – Стипендиаттың шетелдік жоғары оқу орнымен келісім бойынша медициналық көрсеткіштер бойынша және Қазақстан Республикасының заңнамасында көзделген өзге де айрықша жағдайларда оқуын уақытша тоқтату кезеңі;</w:t>
      </w:r>
    </w:p>
    <w:p>
      <w:pPr>
        <w:spacing w:after="0"/>
        <w:ind w:left="0"/>
        <w:jc w:val="both"/>
      </w:pPr>
      <w:r>
        <w:rPr>
          <w:rFonts w:ascii="Times New Roman"/>
          <w:b w:val="false"/>
          <w:i w:val="false"/>
          <w:color w:val="000000"/>
          <w:sz w:val="28"/>
        </w:rPr>
        <w:t>
      2) академиялық оқу – шетелдік жоғары оқу орнында дәреже алуға, резидентурада оқуға бағытталған оқу процессі;</w:t>
      </w:r>
    </w:p>
    <w:p>
      <w:pPr>
        <w:spacing w:after="0"/>
        <w:ind w:left="0"/>
        <w:jc w:val="both"/>
      </w:pPr>
      <w:r>
        <w:rPr>
          <w:rFonts w:ascii="Times New Roman"/>
          <w:b w:val="false"/>
          <w:i w:val="false"/>
          <w:color w:val="000000"/>
          <w:sz w:val="28"/>
        </w:rPr>
        <w:t>
      3) "Болашақ" халықаралық стипендиясы иегерлері өтініштерін қарау жөніндегі комиссия (бұдан әрі – Комиссия) – Республикалық комиссияның жұмыс органы ретінде Қазақстан Республикасы Білім және ғылым министрлігі жанындағы консультативтік-кеңесші орган;</w:t>
      </w:r>
    </w:p>
    <w:p>
      <w:pPr>
        <w:spacing w:after="0"/>
        <w:ind w:left="0"/>
        <w:jc w:val="both"/>
      </w:pPr>
      <w:r>
        <w:rPr>
          <w:rFonts w:ascii="Times New Roman"/>
          <w:b w:val="false"/>
          <w:i w:val="false"/>
          <w:color w:val="000000"/>
          <w:sz w:val="28"/>
        </w:rPr>
        <w:t>
      4) депозит – оқу және/немесе тұру үшін кепілді жарнаның аванстық төлем сомасы;</w:t>
      </w:r>
    </w:p>
    <w:p>
      <w:pPr>
        <w:spacing w:after="0"/>
        <w:ind w:left="0"/>
        <w:jc w:val="both"/>
      </w:pPr>
      <w:r>
        <w:rPr>
          <w:rFonts w:ascii="Times New Roman"/>
          <w:b w:val="false"/>
          <w:i w:val="false"/>
          <w:color w:val="000000"/>
          <w:sz w:val="28"/>
        </w:rPr>
        <w:t>
      5) еңбек қызметі (жұмыспен өтеу) – еңбек қызметін алған мамандық бойынша Қазақстан Республикасында жүзеге асыру бөлігінде шарттық міндеттемелерді орындау процессі;</w:t>
      </w:r>
    </w:p>
    <w:p>
      <w:pPr>
        <w:spacing w:after="0"/>
        <w:ind w:left="0"/>
        <w:jc w:val="both"/>
      </w:pPr>
      <w:r>
        <w:rPr>
          <w:rFonts w:ascii="Times New Roman"/>
          <w:b w:val="false"/>
          <w:i w:val="false"/>
          <w:color w:val="000000"/>
          <w:sz w:val="28"/>
        </w:rPr>
        <w:t xml:space="preserve">
      6) кепіл хат – тілдік курстарға, магистратура алдындағы дайындыққа, академиялық оқуға, тағылымдамадан өтуге тіркелу және виза ресімдеу үшін Стипендиаттарға Қоғам беретін, шығыстарды жабу міндеттемесін кепілдендіретін ресми хат; </w:t>
      </w:r>
    </w:p>
    <w:p>
      <w:pPr>
        <w:spacing w:after="0"/>
        <w:ind w:left="0"/>
        <w:jc w:val="both"/>
      </w:pPr>
      <w:r>
        <w:rPr>
          <w:rFonts w:ascii="Times New Roman"/>
          <w:b w:val="false"/>
          <w:i w:val="false"/>
          <w:color w:val="000000"/>
          <w:sz w:val="28"/>
        </w:rPr>
        <w:t xml:space="preserve">
      7) магистратура алдындағы дайындық – Стипендиаттарды оқу еліне байланысты 2 (екі) айдан артық емес мерзіммен шетелдік жоғары оқу орындарындағы білім беру жүйесіне және оқу әдістеріне бейімделуге дайындау; </w:t>
      </w:r>
    </w:p>
    <w:p>
      <w:pPr>
        <w:spacing w:after="0"/>
        <w:ind w:left="0"/>
        <w:jc w:val="both"/>
      </w:pPr>
      <w:r>
        <w:rPr>
          <w:rFonts w:ascii="Times New Roman"/>
          <w:b w:val="false"/>
          <w:i w:val="false"/>
          <w:color w:val="000000"/>
          <w:sz w:val="28"/>
        </w:rPr>
        <w:t xml:space="preserve">
      8) орналастыру – шетелдік жоғары оқу орнын, шетелдік ұйымды таңдау, стипендиаттың Стипендиаттың тілдік курстарға, магистратура алдындағы дайындыққа, академиялық оқуға құжаттар тапсыру және түсу рәсімі; </w:t>
      </w:r>
    </w:p>
    <w:p>
      <w:pPr>
        <w:spacing w:after="0"/>
        <w:ind w:left="0"/>
        <w:jc w:val="both"/>
      </w:pPr>
      <w:r>
        <w:rPr>
          <w:rFonts w:ascii="Times New Roman"/>
          <w:b w:val="false"/>
          <w:i w:val="false"/>
          <w:color w:val="000000"/>
          <w:sz w:val="28"/>
        </w:rPr>
        <w:t>
      9) өтініш-сауалнама – шетелдік жоғары оқу орны, шетелдік ұйым әзірлеген құрылымдалған сұхбат негізінде қалыптастырылған сұрақтарды қамтитын сауалнама;</w:t>
      </w:r>
    </w:p>
    <w:p>
      <w:pPr>
        <w:spacing w:after="0"/>
        <w:ind w:left="0"/>
        <w:jc w:val="both"/>
      </w:pPr>
      <w:r>
        <w:rPr>
          <w:rFonts w:ascii="Times New Roman"/>
          <w:b w:val="false"/>
          <w:i w:val="false"/>
          <w:color w:val="000000"/>
          <w:sz w:val="28"/>
        </w:rPr>
        <w:t>
      10) преференс-нысан – шетелдік жоғары оқу орны және тағайындалған мамандық баламалары көрсетілген академиялық оқуға орналастыру үшін толтырылатын нысан;</w:t>
      </w:r>
    </w:p>
    <w:p>
      <w:pPr>
        <w:spacing w:after="0"/>
        <w:ind w:left="0"/>
        <w:jc w:val="both"/>
      </w:pPr>
      <w:r>
        <w:rPr>
          <w:rFonts w:ascii="Times New Roman"/>
          <w:b w:val="false"/>
          <w:i w:val="false"/>
          <w:color w:val="000000"/>
          <w:sz w:val="28"/>
        </w:rPr>
        <w:t>
      11) түлек – тиісті академиялық дәреже тағайындалумен оқуды аяқтаған немесе тағылымдамадан өткен және академиялық оқуды немесе тағылымдамадан өтуді аяқтау туралы тиісті құжатты алған Стипендиат;</w:t>
      </w:r>
    </w:p>
    <w:p>
      <w:pPr>
        <w:spacing w:after="0"/>
        <w:ind w:left="0"/>
        <w:jc w:val="both"/>
      </w:pPr>
      <w:r>
        <w:rPr>
          <w:rFonts w:ascii="Times New Roman"/>
          <w:b w:val="false"/>
          <w:i w:val="false"/>
          <w:color w:val="000000"/>
          <w:sz w:val="28"/>
        </w:rPr>
        <w:t>
      12) тілдік мектеп – Стипендиаттардың тілдік курстардан өтуін жүзеге асыратын ұйым;</w:t>
      </w:r>
    </w:p>
    <w:p>
      <w:pPr>
        <w:spacing w:after="0"/>
        <w:ind w:left="0"/>
        <w:jc w:val="both"/>
      </w:pPr>
      <w:r>
        <w:rPr>
          <w:rFonts w:ascii="Times New Roman"/>
          <w:b w:val="false"/>
          <w:i w:val="false"/>
          <w:color w:val="000000"/>
          <w:sz w:val="28"/>
        </w:rPr>
        <w:t>
      13) тілдік курстар – тілдік тесттерге дайындық курстарды қамтитын, академиялық бағыттағы шет тілін меңгеру деңгейін арттыру курстары (магистратура алдындағы пәндер бойынша дайындық курстарды қамтымайды);</w:t>
      </w:r>
    </w:p>
    <w:p>
      <w:pPr>
        <w:spacing w:after="0"/>
        <w:ind w:left="0"/>
        <w:jc w:val="both"/>
      </w:pPr>
      <w:r>
        <w:rPr>
          <w:rFonts w:ascii="Times New Roman"/>
          <w:b w:val="false"/>
          <w:i w:val="false"/>
          <w:color w:val="000000"/>
          <w:sz w:val="28"/>
        </w:rPr>
        <w:t>
      14) шартсыз шақырту – оқу мерзімдері көрсетілген, оқу ақысы туралы шартты қоспағанда, түсу үшін қажетті шарттарды қамтымайтын академиялық оқуға, тілдік курстардан, тағылымдамадан өтуге ресми шақырту;</w:t>
      </w:r>
    </w:p>
    <w:p>
      <w:pPr>
        <w:spacing w:after="0"/>
        <w:ind w:left="0"/>
        <w:jc w:val="both"/>
      </w:pPr>
      <w:r>
        <w:rPr>
          <w:rFonts w:ascii="Times New Roman"/>
          <w:b w:val="false"/>
          <w:i w:val="false"/>
          <w:color w:val="000000"/>
          <w:sz w:val="28"/>
        </w:rPr>
        <w:t>
      15) Шетелде кадрлар даярлау жөніндегі республикалық комиссия (бұдан әрі –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w:t>
      </w:r>
    </w:p>
    <w:p>
      <w:pPr>
        <w:spacing w:after="0"/>
        <w:ind w:left="0"/>
        <w:jc w:val="both"/>
      </w:pPr>
      <w:r>
        <w:rPr>
          <w:rFonts w:ascii="Times New Roman"/>
          <w:b w:val="false"/>
          <w:i w:val="false"/>
          <w:color w:val="000000"/>
          <w:sz w:val="28"/>
        </w:rPr>
        <w:t>
      16) шетелдік жоғары оқу орны (бұдан әрі – Оқу орны) – Стипендиаттардың шетелдегі академиялық оқуы шеңберінде таңдалған мамандық бойынша жоғары кәсіби білім беретін ұйым;</w:t>
      </w:r>
    </w:p>
    <w:p>
      <w:pPr>
        <w:spacing w:after="0"/>
        <w:ind w:left="0"/>
        <w:jc w:val="both"/>
      </w:pPr>
      <w:r>
        <w:rPr>
          <w:rFonts w:ascii="Times New Roman"/>
          <w:b w:val="false"/>
          <w:i w:val="false"/>
          <w:color w:val="000000"/>
          <w:sz w:val="28"/>
        </w:rPr>
        <w:t>
      17) шетелдік ұйым – Стипендиаттардың тағылымдамадан, тілдік курстардан, магистратура алдындағы дайындықтан өтуін жүзеге асыратын Оқу орны, ұйым;</w:t>
      </w:r>
    </w:p>
    <w:p>
      <w:pPr>
        <w:spacing w:after="0"/>
        <w:ind w:left="0"/>
        <w:jc w:val="both"/>
      </w:pPr>
      <w:r>
        <w:rPr>
          <w:rFonts w:ascii="Times New Roman"/>
          <w:b w:val="false"/>
          <w:i w:val="false"/>
          <w:color w:val="000000"/>
          <w:sz w:val="28"/>
        </w:rPr>
        <w:t>
      18) "Халықаралық бағдарламалар орталығы" акционерлік қоғамы (бұдан әрі – Қоғам) – Қазақстан Республикасының Үкіметі "Болашақ" халықаралық стипендиясын (бұдан әрі – "Болашақ" стипендиясы) әкімшілендіру бойынша қызметтерді жүзеге асыруға өкілдік берген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атауы мынадай редакцияда жазылсын:</w:t>
      </w:r>
    </w:p>
    <w:bookmarkStart w:name="z9" w:id="5"/>
    <w:p>
      <w:pPr>
        <w:spacing w:after="0"/>
        <w:ind w:left="0"/>
        <w:jc w:val="both"/>
      </w:pPr>
      <w:r>
        <w:rPr>
          <w:rFonts w:ascii="Times New Roman"/>
          <w:b w:val="false"/>
          <w:i w:val="false"/>
          <w:color w:val="000000"/>
          <w:sz w:val="28"/>
        </w:rPr>
        <w:t>
      "2-тарау. "Болашақ" халықаралық стипендиясы бойынша оқуға/тағылымдамадан өтуге шарт жасасу тәртібі мен шарттары";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 Оқу құнын жабатын ауыртпалығы жоқ жылжымайтын мүлік болмаған немесе оның құны жеткіліксіз болған жағдайда, кепілге Стипендиатқа, оның отбасы мүшелеріне (ата-анасына, жұбайына, балаларына), сондай-ақ үшінші тұлғаларға меншік құқығында тиесілі барлық ауыртпалығы жоқ жылжымайтын мүлік қабылданады.</w:t>
      </w:r>
    </w:p>
    <w:bookmarkEnd w:id="6"/>
    <w:bookmarkStart w:name="z12" w:id="7"/>
    <w:p>
      <w:pPr>
        <w:spacing w:after="0"/>
        <w:ind w:left="0"/>
        <w:jc w:val="both"/>
      </w:pPr>
      <w:r>
        <w:rPr>
          <w:rFonts w:ascii="Times New Roman"/>
          <w:b w:val="false"/>
          <w:i w:val="false"/>
          <w:color w:val="000000"/>
          <w:sz w:val="28"/>
        </w:rPr>
        <w:t>
      11. Стипендиаттың академиялық оқуының жалпы құны жабылмаған жағдайда, кепіл мүлкімен қамтамасыз етілмеген қалған сомаға кепілдік шарт (-тар) жасалады.</w:t>
      </w:r>
    </w:p>
    <w:bookmarkEnd w:id="7"/>
    <w:bookmarkStart w:name="z13" w:id="8"/>
    <w:p>
      <w:pPr>
        <w:spacing w:after="0"/>
        <w:ind w:left="0"/>
        <w:jc w:val="both"/>
      </w:pPr>
      <w:r>
        <w:rPr>
          <w:rFonts w:ascii="Times New Roman"/>
          <w:b w:val="false"/>
          <w:i w:val="false"/>
          <w:color w:val="000000"/>
          <w:sz w:val="28"/>
        </w:rPr>
        <w:t>
      Жабылуға тиісті сомаға байланысты кепілгерлер мындай санда ұсынылады:</w:t>
      </w:r>
    </w:p>
    <w:bookmarkEnd w:id="8"/>
    <w:bookmarkStart w:name="z14" w:id="9"/>
    <w:p>
      <w:pPr>
        <w:spacing w:after="0"/>
        <w:ind w:left="0"/>
        <w:jc w:val="both"/>
      </w:pPr>
      <w:r>
        <w:rPr>
          <w:rFonts w:ascii="Times New Roman"/>
          <w:b w:val="false"/>
          <w:i w:val="false"/>
          <w:color w:val="000000"/>
          <w:sz w:val="28"/>
        </w:rPr>
        <w:t xml:space="preserve">
      оқу құны кепілзатпен жетпіс пайыздан артық қамтамасыз етілген жағдайда – бір кепілгер; </w:t>
      </w:r>
    </w:p>
    <w:bookmarkEnd w:id="9"/>
    <w:bookmarkStart w:name="z15" w:id="10"/>
    <w:p>
      <w:pPr>
        <w:spacing w:after="0"/>
        <w:ind w:left="0"/>
        <w:jc w:val="both"/>
      </w:pPr>
      <w:r>
        <w:rPr>
          <w:rFonts w:ascii="Times New Roman"/>
          <w:b w:val="false"/>
          <w:i w:val="false"/>
          <w:color w:val="000000"/>
          <w:sz w:val="28"/>
        </w:rPr>
        <w:t xml:space="preserve">
      оқу құны кепілзатпен елу пайыздан жетпіс пайызға дейін қамтамасыз етілген жағдайда – екі кепілгер; </w:t>
      </w:r>
    </w:p>
    <w:bookmarkEnd w:id="10"/>
    <w:bookmarkStart w:name="z16" w:id="11"/>
    <w:p>
      <w:pPr>
        <w:spacing w:after="0"/>
        <w:ind w:left="0"/>
        <w:jc w:val="both"/>
      </w:pPr>
      <w:r>
        <w:rPr>
          <w:rFonts w:ascii="Times New Roman"/>
          <w:b w:val="false"/>
          <w:i w:val="false"/>
          <w:color w:val="000000"/>
          <w:sz w:val="28"/>
        </w:rPr>
        <w:t>
      оқу құны кепілзатпен отыз пайыздан елу пайызға дейін қамтамасыз етілген жағдайда – үш кепілгер;</w:t>
      </w:r>
    </w:p>
    <w:bookmarkEnd w:id="11"/>
    <w:bookmarkStart w:name="z17" w:id="12"/>
    <w:p>
      <w:pPr>
        <w:spacing w:after="0"/>
        <w:ind w:left="0"/>
        <w:jc w:val="both"/>
      </w:pPr>
      <w:r>
        <w:rPr>
          <w:rFonts w:ascii="Times New Roman"/>
          <w:b w:val="false"/>
          <w:i w:val="false"/>
          <w:color w:val="000000"/>
          <w:sz w:val="28"/>
        </w:rPr>
        <w:t>
      оқу құны кепілзатпен отыз пайыздан кем қамтамасыз етілген жағдайда – төрт кепілгер.</w:t>
      </w:r>
    </w:p>
    <w:bookmarkEnd w:id="12"/>
    <w:bookmarkStart w:name="z18" w:id="13"/>
    <w:p>
      <w:pPr>
        <w:spacing w:after="0"/>
        <w:ind w:left="0"/>
        <w:jc w:val="both"/>
      </w:pPr>
      <w:r>
        <w:rPr>
          <w:rFonts w:ascii="Times New Roman"/>
          <w:b w:val="false"/>
          <w:i w:val="false"/>
          <w:color w:val="000000"/>
          <w:sz w:val="28"/>
        </w:rPr>
        <w:t>
      Академиялық оқуға жіберілетін және ауылдық аумақтарда соңғы 6 (алты) ай ішінде тұратын және жұмыс істейтін Стипендиаттар үшін оқу құнын кепілдік қамтамасыз етумен жабу пайызына қарамастан кепілгерлердің кез келген саны (бірден төртке дейін) шарттық міндеттемелерді орындауды қамтамасыз ету ретінде ұсынылады.</w:t>
      </w:r>
    </w:p>
    <w:bookmarkEnd w:id="13"/>
    <w:bookmarkStart w:name="z19" w:id="14"/>
    <w:p>
      <w:pPr>
        <w:spacing w:after="0"/>
        <w:ind w:left="0"/>
        <w:jc w:val="both"/>
      </w:pPr>
      <w:r>
        <w:rPr>
          <w:rFonts w:ascii="Times New Roman"/>
          <w:b w:val="false"/>
          <w:i w:val="false"/>
          <w:color w:val="000000"/>
          <w:sz w:val="28"/>
        </w:rPr>
        <w:t>
      12. Тағылымдамадан өтуге жіберілетін Стипендиаттар міндеттемелердің орындалуын қамтамасыз ету мақсатында екі кепілгер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атауы мынадай редакцияда жазылсын:</w:t>
      </w:r>
    </w:p>
    <w:bookmarkStart w:name="z21" w:id="15"/>
    <w:p>
      <w:pPr>
        <w:spacing w:after="0"/>
        <w:ind w:left="0"/>
        <w:jc w:val="both"/>
      </w:pPr>
      <w:r>
        <w:rPr>
          <w:rFonts w:ascii="Times New Roman"/>
          <w:b w:val="false"/>
          <w:i w:val="false"/>
          <w:color w:val="000000"/>
          <w:sz w:val="28"/>
        </w:rPr>
        <w:t>
      "3-тарау. Стипендиаттарды тілдік курстарға, магистратура алдындағы дайындыққа, академиялық оқуға, тағылымдамаға орналастыруды ұйымдастыру тәртібі, үлгерім және түлектердің еңбек қызметін жүзеге асыру мониторингін жүргізу";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"19. Тілдік курстарға, магистратура алдындағы дайындыққа, академиялық оқуға, тағылымдамаға орналастыруды ұйымдастыру оқуға/тағылымдамадан өтуге шарттар күшіне енген сәттен басталады.";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"22. Тілдік курстар оқуға/тағылымдамадан өтуге шартта көзделген мерзім ішінде (оқу еліндегі визалық талаптармен белгіленетін жағдайларды қоспағанда) жалғасады. </w:t>
      </w:r>
    </w:p>
    <w:bookmarkEnd w:id="17"/>
    <w:bookmarkStart w:name="z26" w:id="18"/>
    <w:p>
      <w:pPr>
        <w:spacing w:after="0"/>
        <w:ind w:left="0"/>
        <w:jc w:val="both"/>
      </w:pPr>
      <w:r>
        <w:rPr>
          <w:rFonts w:ascii="Times New Roman"/>
          <w:b w:val="false"/>
          <w:i w:val="false"/>
          <w:color w:val="000000"/>
          <w:sz w:val="28"/>
        </w:rPr>
        <w:t>
      Тілдік мектепті ауыстыру оқуға орналастыру сәтінде бекітілген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тізімінде (бұдан әрі – Тізім) тілдік мектеп болған жағдайда, Стипендиаттың Қоғамға жазбаша өтініші негізінде жүзеге асырылады.</w:t>
      </w:r>
    </w:p>
    <w:bookmarkEnd w:id="18"/>
    <w:bookmarkStart w:name="z27" w:id="19"/>
    <w:p>
      <w:pPr>
        <w:spacing w:after="0"/>
        <w:ind w:left="0"/>
        <w:jc w:val="both"/>
      </w:pPr>
      <w:r>
        <w:rPr>
          <w:rFonts w:ascii="Times New Roman"/>
          <w:b w:val="false"/>
          <w:i w:val="false"/>
          <w:color w:val="000000"/>
          <w:sz w:val="28"/>
        </w:rPr>
        <w:t>
      Ағымдағы оқу курсы (семестр/триместр немесе тілдік мектеп белгілеген кезең) аяқталғанға дейін тілдік мектепті ауыстыруға рұқсат берілмейді.";</w:t>
      </w:r>
    </w:p>
    <w:bookmarkEnd w:id="19"/>
    <w:bookmarkStart w:name="z28" w:id="20"/>
    <w:p>
      <w:pPr>
        <w:spacing w:after="0"/>
        <w:ind w:left="0"/>
        <w:jc w:val="both"/>
      </w:pPr>
      <w:r>
        <w:rPr>
          <w:rFonts w:ascii="Times New Roman"/>
          <w:b w:val="false"/>
          <w:i w:val="false"/>
          <w:color w:val="000000"/>
          <w:sz w:val="28"/>
        </w:rPr>
        <w:t>
      мынадай мазмұндағы 22-1, 22-2 және 22-3-тармақтармен толықтырылсын:</w:t>
      </w:r>
    </w:p>
    <w:bookmarkEnd w:id="20"/>
    <w:bookmarkStart w:name="z29" w:id="21"/>
    <w:p>
      <w:pPr>
        <w:spacing w:after="0"/>
        <w:ind w:left="0"/>
        <w:jc w:val="both"/>
      </w:pPr>
      <w:r>
        <w:rPr>
          <w:rFonts w:ascii="Times New Roman"/>
          <w:b w:val="false"/>
          <w:i w:val="false"/>
          <w:color w:val="000000"/>
          <w:sz w:val="28"/>
        </w:rPr>
        <w:t xml:space="preserve">
      "22-1. Магистр дәрежесін алу үшін конкурсқа қатысқан және академиялық оқуға шартсыз шақыртуы бар стипендиаттар қажет болған жағдайда магистратура алдындағы дайындықтан өтеді. </w:t>
      </w:r>
    </w:p>
    <w:bookmarkEnd w:id="21"/>
    <w:bookmarkStart w:name="z30" w:id="22"/>
    <w:p>
      <w:pPr>
        <w:spacing w:after="0"/>
        <w:ind w:left="0"/>
        <w:jc w:val="both"/>
      </w:pPr>
      <w:r>
        <w:rPr>
          <w:rFonts w:ascii="Times New Roman"/>
          <w:b w:val="false"/>
          <w:i w:val="false"/>
          <w:color w:val="000000"/>
          <w:sz w:val="28"/>
        </w:rPr>
        <w:t>
      Стипендиаттың академиялық оқуға шартсыз шақыртуды және "айлтс" (ielts) немесе "тоефл" (toefl) тесті нәтижесінің көшірмесі қоса берілген жазбаша өтінішінің негізінде Қоғам келесі өлшемшарттардың бірін басшылыққа алып, Стипендиатты магистратура алдындағы дайындық курсына орналастыру қажеттілігі туралы шешім қабылдайды:</w:t>
      </w:r>
    </w:p>
    <w:bookmarkEnd w:id="22"/>
    <w:p>
      <w:pPr>
        <w:spacing w:after="0"/>
        <w:ind w:left="0"/>
        <w:jc w:val="both"/>
      </w:pPr>
      <w:r>
        <w:rPr>
          <w:rFonts w:ascii="Times New Roman"/>
          <w:b w:val="false"/>
          <w:i w:val="false"/>
          <w:color w:val="000000"/>
          <w:sz w:val="28"/>
        </w:rPr>
        <w:t xml:space="preserve">
      1) Стипендиат "Болашақ" бағдарламасы шеңберінде шетелде алдын ала тілдік курстардан өткен жоқ; </w:t>
      </w:r>
    </w:p>
    <w:p>
      <w:pPr>
        <w:spacing w:after="0"/>
        <w:ind w:left="0"/>
        <w:jc w:val="both"/>
      </w:pPr>
      <w:r>
        <w:rPr>
          <w:rFonts w:ascii="Times New Roman"/>
          <w:b w:val="false"/>
          <w:i w:val="false"/>
          <w:color w:val="000000"/>
          <w:sz w:val="28"/>
        </w:rPr>
        <w:t>
      2) Стипендиат "академиялық ағылшын тілі" бағдарламасы бойынша шетелде 6 (алты) айдан аспайтын тілдік курстардан өтті және осы бағдарламаның мазмұны магистратура алдындағы дайындық бағдарламасы мазмұнын қайталамайды (бағдарламалар мазмұндары бірдей болған жағдайда магистратура алдындағы дайындық ұзақтығы 1 (бір) айдан аспайды).</w:t>
      </w:r>
    </w:p>
    <w:bookmarkStart w:name="z31" w:id="23"/>
    <w:p>
      <w:pPr>
        <w:spacing w:after="0"/>
        <w:ind w:left="0"/>
        <w:jc w:val="both"/>
      </w:pPr>
      <w:r>
        <w:rPr>
          <w:rFonts w:ascii="Times New Roman"/>
          <w:b w:val="false"/>
          <w:i w:val="false"/>
          <w:color w:val="000000"/>
          <w:sz w:val="28"/>
        </w:rPr>
        <w:t>
      22-2. Қоғам келесі модульдерді қамтитын магистратура алдындағы дайындыққа орналастыруды қамтамасыз етеді:</w:t>
      </w:r>
    </w:p>
    <w:bookmarkEnd w:id="23"/>
    <w:bookmarkStart w:name="z32" w:id="24"/>
    <w:p>
      <w:pPr>
        <w:spacing w:after="0"/>
        <w:ind w:left="0"/>
        <w:jc w:val="both"/>
      </w:pPr>
      <w:r>
        <w:rPr>
          <w:rFonts w:ascii="Times New Roman"/>
          <w:b w:val="false"/>
          <w:i w:val="false"/>
          <w:color w:val="000000"/>
          <w:sz w:val="28"/>
        </w:rPr>
        <w:t>
      оқу елінің әлеуметтік-мәдени ортасымен, халықаралық студенттерге арналған ережелермен және көрсетілетін қызметтермен танысу;</w:t>
      </w:r>
    </w:p>
    <w:bookmarkEnd w:id="24"/>
    <w:bookmarkStart w:name="z33" w:id="25"/>
    <w:p>
      <w:pPr>
        <w:spacing w:after="0"/>
        <w:ind w:left="0"/>
        <w:jc w:val="both"/>
      </w:pPr>
      <w:r>
        <w:rPr>
          <w:rFonts w:ascii="Times New Roman"/>
          <w:b w:val="false"/>
          <w:i w:val="false"/>
          <w:color w:val="000000"/>
          <w:sz w:val="28"/>
        </w:rPr>
        <w:t xml:space="preserve">
      білім беру жүйесін, оқу әдістерін, халықаралық студенттерге қойылатын талаптарды зерттеу және оқу елінің академиялық ортасымен танысу; </w:t>
      </w:r>
    </w:p>
    <w:bookmarkEnd w:id="25"/>
    <w:bookmarkStart w:name="z34" w:id="26"/>
    <w:p>
      <w:pPr>
        <w:spacing w:after="0"/>
        <w:ind w:left="0"/>
        <w:jc w:val="both"/>
      </w:pPr>
      <w:r>
        <w:rPr>
          <w:rFonts w:ascii="Times New Roman"/>
          <w:b w:val="false"/>
          <w:i w:val="false"/>
          <w:color w:val="000000"/>
          <w:sz w:val="28"/>
        </w:rPr>
        <w:t xml:space="preserve">
      академиялық дағдыларды (кәсіби мәтіндерді жазу және оқу дағдылары, презентацияларды дайындай алу, магистратура бағдарламасының таңдалған бағыты бойынша салалық терминологияны, плагиатқа жол бермеу бөлігінде академиялық материалды пайдалану нормасын қолдану) жетілдіру; </w:t>
      </w:r>
    </w:p>
    <w:bookmarkEnd w:id="26"/>
    <w:bookmarkStart w:name="z35" w:id="27"/>
    <w:p>
      <w:pPr>
        <w:spacing w:after="0"/>
        <w:ind w:left="0"/>
        <w:jc w:val="both"/>
      </w:pPr>
      <w:r>
        <w:rPr>
          <w:rFonts w:ascii="Times New Roman"/>
          <w:b w:val="false"/>
          <w:i w:val="false"/>
          <w:color w:val="000000"/>
          <w:sz w:val="28"/>
        </w:rPr>
        <w:t>
      диссертация немесе жобалық жұмыс жазу бөлігінде магистратура бағдарламасын сәтті игеру үшін қажетті зерттеушілік дағдыларды алу;</w:t>
      </w:r>
    </w:p>
    <w:bookmarkEnd w:id="27"/>
    <w:bookmarkStart w:name="z36" w:id="28"/>
    <w:p>
      <w:pPr>
        <w:spacing w:after="0"/>
        <w:ind w:left="0"/>
        <w:jc w:val="both"/>
      </w:pPr>
      <w:r>
        <w:rPr>
          <w:rFonts w:ascii="Times New Roman"/>
          <w:b w:val="false"/>
          <w:i w:val="false"/>
          <w:color w:val="000000"/>
          <w:sz w:val="28"/>
        </w:rPr>
        <w:t>
      кәсіби модуль (заң, бизнес және экономика, ғылым және инженерия бағыттарының бірі бойынша курс) болуы;</w:t>
      </w:r>
    </w:p>
    <w:bookmarkEnd w:id="28"/>
    <w:bookmarkStart w:name="z37" w:id="29"/>
    <w:p>
      <w:pPr>
        <w:spacing w:after="0"/>
        <w:ind w:left="0"/>
        <w:jc w:val="both"/>
      </w:pPr>
      <w:r>
        <w:rPr>
          <w:rFonts w:ascii="Times New Roman"/>
          <w:b w:val="false"/>
          <w:i w:val="false"/>
          <w:color w:val="000000"/>
          <w:sz w:val="28"/>
        </w:rPr>
        <w:t>
      бір апта ішіндегі сағаттардың қажетті саны.</w:t>
      </w:r>
    </w:p>
    <w:bookmarkEnd w:id="29"/>
    <w:bookmarkStart w:name="z38" w:id="30"/>
    <w:p>
      <w:pPr>
        <w:spacing w:after="0"/>
        <w:ind w:left="0"/>
        <w:jc w:val="both"/>
      </w:pPr>
      <w:r>
        <w:rPr>
          <w:rFonts w:ascii="Times New Roman"/>
          <w:b w:val="false"/>
          <w:i w:val="false"/>
          <w:color w:val="000000"/>
          <w:sz w:val="28"/>
        </w:rPr>
        <w:t>
      22-3. Қоғам магистратура алдындағы дайындыққа орналастыруды шетелдік ұйымның халықаралық және/немесе мемлекеттік/ұлттық аккредитациясы не шетелдік студенттер үшін магистратура алдындағы дайындық бағдарламасын өткізуге рұқсаты болған жағдайда, Тізімде көрсетілген "Болашақ" халықаралық стипендиясы иегерлерінің тілдік курстардан өтуі үшін ұсынылған шетелдік ұйымдар базасында академиялық оқу басталуының тура алдында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Стипендиатты преференс-нысанға сәйкес Оқу орындарына академиялық оқуға орналастыру барысында Стипендиат өтініш-сауалнамаларды өз бетінше толтырады және Оқу орны белгілеген мерзімде тапсырады. Қоғам өтініш-сауалнамаларды тапсыру мерзімдеріне мониторинг жүргізеді және Стипендиаттарды бұл туралы хабарландырады, Стипендиаттардан өтініш-сауалнамаларды толтыру жағдайы туралы сұрайды, өтініш-сауалнамаларды толтыру дұрыстылығын Оқу орнына тапсыру алдында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Үлгерім және түлектердің еңбек қызметін жүзеге асыру мониторингі оқуға/тағылымдамадан өтуге шарт талаптарына сәйкес жүзеге асырылады.</w:t>
      </w:r>
    </w:p>
    <w:bookmarkStart w:name="z41" w:id="31"/>
    <w:p>
      <w:pPr>
        <w:spacing w:after="0"/>
        <w:ind w:left="0"/>
        <w:jc w:val="both"/>
      </w:pPr>
      <w:r>
        <w:rPr>
          <w:rFonts w:ascii="Times New Roman"/>
          <w:b w:val="false"/>
          <w:i w:val="false"/>
          <w:color w:val="000000"/>
          <w:sz w:val="28"/>
        </w:rPr>
        <w:t>
      Түлектен немесе кепіл берушіден ауыртпалықты алу туралы өтініш түскенде Қоғам түлектің еңбек өтілімі бойынша шарттық міндеттемелерінің орындалуын төмендегілерді:</w:t>
      </w:r>
    </w:p>
    <w:bookmarkEnd w:id="31"/>
    <w:bookmarkStart w:name="z42" w:id="32"/>
    <w:p>
      <w:pPr>
        <w:spacing w:after="0"/>
        <w:ind w:left="0"/>
        <w:jc w:val="both"/>
      </w:pPr>
      <w:r>
        <w:rPr>
          <w:rFonts w:ascii="Times New Roman"/>
          <w:b w:val="false"/>
          <w:i w:val="false"/>
          <w:color w:val="000000"/>
          <w:sz w:val="28"/>
        </w:rPr>
        <w:t>
      түлек алған мамандығы бойынша еңбек қызметін жүзеге асырған жұмыс берушілердің еңбек кітапшасындағы жазбаларын;</w:t>
      </w:r>
    </w:p>
    <w:bookmarkEnd w:id="32"/>
    <w:bookmarkStart w:name="z43" w:id="33"/>
    <w:p>
      <w:pPr>
        <w:spacing w:after="0"/>
        <w:ind w:left="0"/>
        <w:jc w:val="both"/>
      </w:pPr>
      <w:r>
        <w:rPr>
          <w:rFonts w:ascii="Times New Roman"/>
          <w:b w:val="false"/>
          <w:i w:val="false"/>
          <w:color w:val="000000"/>
          <w:sz w:val="28"/>
        </w:rPr>
        <w:t>
      еңбек өтілімінің талап етілетін кезеңі ішінде аударылған міндетті зейнетақы аударымдары туралы үзінді көшірмелерде көрсетілген зейнетақы аударымдарын (Қазақстан Республикасының зейнетақымен қамсыздандыруға байланысты заңнамасының ерекшеліктері ескерілген) есепке алып, тексереді.</w:t>
      </w:r>
    </w:p>
    <w:bookmarkEnd w:id="33"/>
    <w:bookmarkStart w:name="z44" w:id="34"/>
    <w:p>
      <w:pPr>
        <w:spacing w:after="0"/>
        <w:ind w:left="0"/>
        <w:jc w:val="both"/>
      </w:pPr>
      <w:r>
        <w:rPr>
          <w:rFonts w:ascii="Times New Roman"/>
          <w:b w:val="false"/>
          <w:i w:val="false"/>
          <w:color w:val="000000"/>
          <w:sz w:val="28"/>
        </w:rPr>
        <w:t xml:space="preserve">
      Еңбек өтілімі мерзімдерін есептеуді Қоғам күнтізбелік күндермен жүзеге асырады. Түлектердің еңбек өтілімін жүзеге асыруының мерзімдері мен орны Іріктеу қағидаларымен реттеледі. </w:t>
      </w:r>
    </w:p>
    <w:bookmarkEnd w:id="34"/>
    <w:bookmarkStart w:name="z45" w:id="35"/>
    <w:p>
      <w:pPr>
        <w:spacing w:after="0"/>
        <w:ind w:left="0"/>
        <w:jc w:val="both"/>
      </w:pPr>
      <w:r>
        <w:rPr>
          <w:rFonts w:ascii="Times New Roman"/>
          <w:b w:val="false"/>
          <w:i w:val="false"/>
          <w:color w:val="000000"/>
          <w:sz w:val="28"/>
        </w:rPr>
        <w:t>
      Түлек еңбек қызметін астанада немесе республикалық маңызы бар қалада, содан кейін өңірлерде немесе керісінше жүзеге асырған жағдайда, еңбек өтілімі мерзімін есептеу астанада немесе республикалық маңызы бар қалада атқарылған жұмыс күндері саны мен өңірде атқарылған жұмыс күндері санының пайыздық ара қатынасын қосу жолымен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"4-тарау. Стипендиаттардың оқуы мен тағылымдамасын ұйымдастыруға байланысты шығыстарды қаржыландыру, стипендия аудару және төлеу, оқуға ақы төлеу, шығыстарға аванс беру, Стипендиат өз қаражаты есебінен жүргізген шығыстарды өтеу, "Болашақ" стипендиясынан айырылған/бас тартқан кезде Стипендиатқа жұмсалған шығыстарды өтеу";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Оқу орындары мен шетелдік ұйымдарға инвойстар мен сметалар бойынша оқу ақысының төленуін көрсету оқуға ақы төлеу үшін валюта сатып алу күніне екінші деңгейлі банк белгілеген валюта айырбастаудың нарықтық бағамы бойынша жүргізіледі.".</w:t>
      </w:r>
    </w:p>
    <w:bookmarkStart w:name="z48" w:id="36"/>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Қазақстан Республикасы заңнамасында белгіленген тәртіппен:</w:t>
      </w:r>
    </w:p>
    <w:bookmarkEnd w:id="3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Start w:name="z49" w:id="3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37"/>
    <w:bookmarkStart w:name="z50" w:id="3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