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787f" w14:textId="6637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 статистикасының көрсеткіштерін қалыптастыру жөніндегі әдістемені бекіту туралы" Қазақстан Республикасы Ұлттық экономика министрлігі Статистика комитеті төрағасының міндетін атқарушының 2015 жылғы 25 желтоқсандағы № 223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20 қазандағы № 147 бұйрығы. Қазақстан Республикасының Әділет министрлігінде 2017 жылғы 8 қарашада № 15977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"Қоршаған орта статистикасының көрсеткіштерін қалыптастыру жөніндегі әдістемені бекіту туралы" Қазақстан Республикасы Ұлттық экономика министрлігі Статистика комитеті төрағасының міндетін атқарушының 2015 жылғы 25 желтоқсандағы № 223 (Нормативтік құқықтық актілерді мемлекеттік тіркеу тізілімінде № 12931 болып тіркелген, 2016 жылғы 1 ақпанда "Әділет" ақпараттық-құқықтық жүйесінде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Қоршаған орта статистикасының көрсеткіштерін қалыптастыру жөніндегі </w:t>
      </w:r>
      <w:r>
        <w:rPr>
          <w:rFonts w:ascii="Times New Roman"/>
          <w:b w:val="false"/>
          <w:i w:val="false"/>
          <w:color w:val="000000"/>
          <w:sz w:val="28"/>
        </w:rPr>
        <w:t>әдістемеде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және екінші бөлігі мынадай редакцияда жазылсын:</w:t>
      </w:r>
    </w:p>
    <w:p>
      <w:pPr>
        <w:spacing w:after="0"/>
        <w:ind w:left="0"/>
        <w:jc w:val="both"/>
      </w:pPr>
      <w:r>
        <w:rPr>
          <w:rFonts w:ascii="Times New Roman"/>
          <w:b w:val="false"/>
          <w:i w:val="false"/>
          <w:color w:val="000000"/>
          <w:sz w:val="28"/>
        </w:rPr>
        <w:t>
      "9. Стационарлық көздерден атмосфераға ластайтын заттар шығарындыларының көрсеткішін қалыптастыру үшін атмосфералық ауаны қорғау бойынша жыл сайынғы жалпымемлекеттік статистикалық байқаудың деректері пайдаланылады.</w:t>
      </w:r>
    </w:p>
    <w:bookmarkStart w:name="z5" w:id="3"/>
    <w:p>
      <w:pPr>
        <w:spacing w:after="0"/>
        <w:ind w:left="0"/>
        <w:jc w:val="both"/>
      </w:pPr>
      <w:r>
        <w:rPr>
          <w:rFonts w:ascii="Times New Roman"/>
          <w:b w:val="false"/>
          <w:i w:val="false"/>
          <w:color w:val="000000"/>
          <w:sz w:val="28"/>
        </w:rPr>
        <w:t>
      Кәсіпорында ұйымдастырылған алғашқы есепке алу, ластаудың стационарлық көздері мен олардың сипаттамаларын есепке алу журналдары, газдан тазарту және шаң тұту қондырғыларының жұмысын есепке алу журналдары, сондай-ақ қондырғы паспортының деректері көрсеткішті қалыптастыруға негіз болады.";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Қалалық елді мекендердегі атмосфералық ауа сапасының көрсеткіші қоршаған ортаның жай-күйін атмосфералық ауаның сапасы мен ластаушы заттардың жоғары концентрациясының халыққа жағымсыз әсері тұрғысынан сипаттайды.</w:t>
      </w:r>
    </w:p>
    <w:bookmarkStart w:name="z7" w:id="4"/>
    <w:p>
      <w:pPr>
        <w:spacing w:after="0"/>
        <w:ind w:left="0"/>
        <w:jc w:val="both"/>
      </w:pPr>
      <w:r>
        <w:rPr>
          <w:rFonts w:ascii="Times New Roman"/>
          <w:b w:val="false"/>
          <w:i w:val="false"/>
          <w:color w:val="000000"/>
          <w:sz w:val="28"/>
        </w:rPr>
        <w:t>
      Атмосфераның жерге жақын қабатында ластаушы заттардың жоғары концентрациясы адам денсаулығына, өсімдіктерге және материалдарға жан-жақты жағымсыз әсер етеді. Атмосфераның жерге жақын қабатындағы ҚБ</w:t>
      </w:r>
      <w:r>
        <w:rPr>
          <w:rFonts w:ascii="Times New Roman"/>
          <w:b w:val="false"/>
          <w:i w:val="false"/>
          <w:color w:val="000000"/>
          <w:vertAlign w:val="subscript"/>
        </w:rPr>
        <w:t>10</w:t>
      </w:r>
      <w:r>
        <w:rPr>
          <w:rFonts w:ascii="Times New Roman"/>
          <w:b w:val="false"/>
          <w:i w:val="false"/>
          <w:color w:val="000000"/>
          <w:sz w:val="28"/>
        </w:rPr>
        <w:t xml:space="preserve"> және ҚБ</w:t>
      </w:r>
      <w:r>
        <w:rPr>
          <w:rFonts w:ascii="Times New Roman"/>
          <w:b w:val="false"/>
          <w:i w:val="false"/>
          <w:color w:val="000000"/>
          <w:vertAlign w:val="subscript"/>
        </w:rPr>
        <w:t>2,5</w:t>
      </w:r>
      <w:r>
        <w:rPr>
          <w:rFonts w:ascii="Times New Roman"/>
          <w:b w:val="false"/>
          <w:i w:val="false"/>
          <w:color w:val="000000"/>
          <w:sz w:val="28"/>
        </w:rPr>
        <w:t xml:space="preserve"> концентрациясы сияқты өлшенетін қатты бөлшектердің, сондай-ақ болатын ауыр металдар қатарының әсері және тұрақты органикалық қосылыстар атмосфералық ауаның ластануынан адам денсаулығы үшін қауіп-қатердің (бұдан әрі – ТОҚ) бірі болып табылады. Аз уақыт ішінде ҚБ</w:t>
      </w:r>
      <w:r>
        <w:rPr>
          <w:rFonts w:ascii="Times New Roman"/>
          <w:b w:val="false"/>
          <w:i w:val="false"/>
          <w:color w:val="000000"/>
          <w:vertAlign w:val="subscript"/>
        </w:rPr>
        <w:t>10</w:t>
      </w:r>
      <w:r>
        <w:rPr>
          <w:rFonts w:ascii="Times New Roman"/>
          <w:b w:val="false"/>
          <w:i w:val="false"/>
          <w:color w:val="000000"/>
          <w:sz w:val="28"/>
        </w:rPr>
        <w:t xml:space="preserve"> және ҚБ</w:t>
      </w:r>
      <w:r>
        <w:rPr>
          <w:rFonts w:ascii="Times New Roman"/>
          <w:b w:val="false"/>
          <w:i w:val="false"/>
          <w:color w:val="000000"/>
          <w:vertAlign w:val="subscript"/>
        </w:rPr>
        <w:t>2,5</w:t>
      </w:r>
      <w:r>
        <w:rPr>
          <w:rFonts w:ascii="Times New Roman"/>
          <w:b w:val="false"/>
          <w:i w:val="false"/>
          <w:color w:val="000000"/>
          <w:sz w:val="28"/>
        </w:rPr>
        <w:t xml:space="preserve"> жоғары концентрациясы бар ауамен тыныс алу астмалық аурулардың және тыныс алу жолдарының аурулары белгілерін, өкпенің өміршеңдік сыйымдылығының қысқаруын және қатерлі аурулардың қауіптілігін ұлғайтуға әкеп соғады. Атмосфералық ауада болатын көміртегі оксидінің (СО), күкірт диоксидінің (SO</w:t>
      </w:r>
      <w:r>
        <w:rPr>
          <w:rFonts w:ascii="Times New Roman"/>
          <w:b w:val="false"/>
          <w:i w:val="false"/>
          <w:color w:val="000000"/>
          <w:vertAlign w:val="subscript"/>
        </w:rPr>
        <w:t>2</w:t>
      </w:r>
      <w:r>
        <w:rPr>
          <w:rFonts w:ascii="Times New Roman"/>
          <w:b w:val="false"/>
          <w:i w:val="false"/>
          <w:color w:val="000000"/>
          <w:sz w:val="28"/>
        </w:rPr>
        <w:t>), азот оксидінің (NO</w:t>
      </w:r>
      <w:r>
        <w:rPr>
          <w:rFonts w:ascii="Times New Roman"/>
          <w:b w:val="false"/>
          <w:i w:val="false"/>
          <w:color w:val="000000"/>
          <w:vertAlign w:val="subscript"/>
        </w:rPr>
        <w:t>х</w:t>
      </w:r>
      <w:r>
        <w:rPr>
          <w:rFonts w:ascii="Times New Roman"/>
          <w:b w:val="false"/>
          <w:i w:val="false"/>
          <w:color w:val="000000"/>
          <w:sz w:val="28"/>
        </w:rPr>
        <w:t>) және озонның адамға теріс ықпалы туралы көптеген деректер бар.</w:t>
      </w:r>
    </w:p>
    <w:bookmarkEnd w:id="4"/>
    <w:bookmarkStart w:name="z8" w:id="5"/>
    <w:p>
      <w:pPr>
        <w:spacing w:after="0"/>
        <w:ind w:left="0"/>
        <w:jc w:val="both"/>
      </w:pPr>
      <w:r>
        <w:rPr>
          <w:rFonts w:ascii="Times New Roman"/>
          <w:b w:val="false"/>
          <w:i w:val="false"/>
          <w:color w:val="000000"/>
          <w:sz w:val="28"/>
        </w:rPr>
        <w:t>
      Осы көрсеткіш бірнеше құрамдастармен айқындалады. Қалалық елді мекендердегі атмосфералық ауаның сапасы, ең алдымен, тұрақты түрде байқаулар жүргізген кезде қалалық елді мекендерде атмосфералық ауаның ластану деңгейі – ЖШК (ең жоғары бір реттік/орташа тәуліктік) белгіленген мәндерінен асып түскен жылдағы күндер саны бойынша айқындалады. Бұл ретте, атмосфералық ауадағы ластаушы заттар концентрациясының абсолюттік мәндерін, атмосфералық ауаның бекітілген сапа нормативтерінен асатын ластайтын заттардың жерге жақын концентрациясы әсер ететін елдегі қала халқының пайызын анықтау қажет.</w:t>
      </w:r>
    </w:p>
    <w:bookmarkEnd w:id="5"/>
    <w:bookmarkStart w:name="z9" w:id="6"/>
    <w:p>
      <w:pPr>
        <w:spacing w:after="0"/>
        <w:ind w:left="0"/>
        <w:jc w:val="both"/>
      </w:pPr>
      <w:r>
        <w:rPr>
          <w:rFonts w:ascii="Times New Roman"/>
          <w:b w:val="false"/>
          <w:i w:val="false"/>
          <w:color w:val="000000"/>
          <w:sz w:val="28"/>
        </w:rPr>
        <w:t>
      Қалалардағы атмосфералық ауа сапасы мониторингінің желісі мониторингтің стационарлық және (немесе) мобильдік станцияларынан тұрады. Станциялардың орналасу жерін таңдаған кезде (өнеркәсіптік аймақтар мен автомагистральдар) ластанудың жоғары деңгейі туралы халықты тікелей алдын ала сақтандыру мақсатында шығарындылар көздерінің шоғырлануы ең жоғары аумақтарға, сондай-ақ қала халқына атмосфералық ауаның ластануы әсерінің жалпы көрінісін алу үшін селитебті аймақтардағы мониторинг станцияларына көбірек мән беріледі.</w:t>
      </w:r>
    </w:p>
    <w:bookmarkEnd w:id="6"/>
    <w:bookmarkStart w:name="z10" w:id="7"/>
    <w:p>
      <w:pPr>
        <w:spacing w:after="0"/>
        <w:ind w:left="0"/>
        <w:jc w:val="both"/>
      </w:pPr>
      <w:r>
        <w:rPr>
          <w:rFonts w:ascii="Times New Roman"/>
          <w:b w:val="false"/>
          <w:i w:val="false"/>
          <w:color w:val="000000"/>
          <w:sz w:val="28"/>
        </w:rPr>
        <w:t>
      Ауаның ластану ахуалы стационарлық посттарда іріктеп алынған ауа сынамаларын талдау және өңдеу нәтижелері бойынша бағаланады. Елді мекендердегі ауаны ластаушы заттардың ЖШК мәндері сапаның негізгі өлшем шарттары болып табылады. Қалаларда зиянды заттармен атмосфераны ластау деңгейі ең үлкен мәндері бар бес зат бойынша есептелетін атмосфераны ластаудың кешендік индексінің (АЛИ</w:t>
      </w:r>
      <w:r>
        <w:rPr>
          <w:rFonts w:ascii="Times New Roman"/>
          <w:b w:val="false"/>
          <w:i w:val="false"/>
          <w:color w:val="000000"/>
          <w:vertAlign w:val="subscript"/>
        </w:rPr>
        <w:t>5</w:t>
      </w:r>
      <w:r>
        <w:rPr>
          <w:rFonts w:ascii="Times New Roman"/>
          <w:b w:val="false"/>
          <w:i w:val="false"/>
          <w:color w:val="000000"/>
          <w:sz w:val="28"/>
        </w:rPr>
        <w:t>) шамасы бойынша мына формуламен бағаланады:</w:t>
      </w:r>
    </w:p>
    <w:bookmarkEnd w:id="7"/>
    <w:p>
      <w:pPr>
        <w:spacing w:after="0"/>
        <w:ind w:left="0"/>
        <w:jc w:val="both"/>
      </w:pPr>
      <w:r>
        <w:rPr>
          <w:rFonts w:ascii="Times New Roman"/>
          <w:b w:val="false"/>
          <w:i w:val="false"/>
          <w:color w:val="000000"/>
          <w:sz w:val="28"/>
        </w:rPr>
        <w:t>
      АЛИ</w:t>
      </w:r>
      <w:r>
        <w:rPr>
          <w:rFonts w:ascii="Times New Roman"/>
          <w:b w:val="false"/>
          <w:i w:val="false"/>
          <w:color w:val="000000"/>
          <w:vertAlign w:val="subscript"/>
        </w:rPr>
        <w:t>5</w:t>
      </w:r>
      <w:r>
        <w:rPr>
          <w:rFonts w:ascii="Times New Roman"/>
          <w:b w:val="false"/>
          <w:i w:val="false"/>
          <w:color w:val="000000"/>
          <w:sz w:val="28"/>
        </w:rPr>
        <w:t xml:space="preserve"> =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(q</w:t>
      </w:r>
      <w:r>
        <w:rPr>
          <w:rFonts w:ascii="Times New Roman"/>
          <w:b w:val="false"/>
          <w:i w:val="false"/>
          <w:color w:val="000000"/>
          <w:vertAlign w:val="subscript"/>
        </w:rPr>
        <w:t>орт.i</w:t>
      </w:r>
      <w:r>
        <w:rPr>
          <w:rFonts w:ascii="Times New Roman"/>
          <w:b w:val="false"/>
          <w:i w:val="false"/>
          <w:color w:val="000000"/>
          <w:sz w:val="28"/>
        </w:rPr>
        <w:t>/ЖШК</w:t>
      </w:r>
      <w:r>
        <w:rPr>
          <w:rFonts w:ascii="Times New Roman"/>
          <w:b w:val="false"/>
          <w:i w:val="false"/>
          <w:color w:val="000000"/>
          <w:vertAlign w:val="subscript"/>
        </w:rPr>
        <w:t>i</w:t>
      </w:r>
      <w:r>
        <w:rPr>
          <w:rFonts w:ascii="Times New Roman"/>
          <w:b w:val="false"/>
          <w:i w:val="false"/>
          <w:color w:val="000000"/>
          <w:sz w:val="28"/>
        </w:rPr>
        <w:t>) С</w:t>
      </w:r>
      <w:r>
        <w:rPr>
          <w:rFonts w:ascii="Times New Roman"/>
          <w:b w:val="false"/>
          <w:i w:val="false"/>
          <w:color w:val="000000"/>
          <w:vertAlign w:val="subscript"/>
        </w:rPr>
        <w:t xml:space="preserve">i </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Pr>
      <w:tblGrid>
        <w:gridCol w:w="1141"/>
        <w:gridCol w:w="505"/>
        <w:gridCol w:w="10654"/>
      </w:tblGrid>
      <w:tr>
        <w:trPr>
          <w:trHeight w:val="30" w:hRule="atLeast"/>
        </w:trPr>
        <w:tc>
          <w:tcPr>
            <w:tcW w:w="1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r>
              <w:rPr>
                <w:rFonts w:ascii="Times New Roman"/>
                <w:b w:val="false"/>
                <w:i w:val="false"/>
                <w:color w:val="000000"/>
                <w:vertAlign w:val="subscript"/>
              </w:rPr>
              <w:t>орт</w:t>
            </w:r>
            <w:r>
              <w:rPr>
                <w:rFonts w:ascii="Times New Roman"/>
                <w:b w:val="false"/>
                <w:i w:val="false"/>
                <w:color w:val="000000"/>
                <w:vertAlign w:val="subscript"/>
              </w:rPr>
              <w:t>.</w:t>
            </w:r>
            <w:r>
              <w:rPr>
                <w:rFonts w:ascii="Times New Roman"/>
                <w:b w:val="false"/>
                <w:i w:val="false"/>
                <w:color w:val="000000"/>
                <w:vertAlign w:val="subscript"/>
              </w:rPr>
              <w:t>i</w:t>
            </w:r>
            <w:r>
              <w:rPr>
                <w:rFonts w:ascii="Times New Roman"/>
                <w:b w:val="false"/>
                <w:i w:val="false"/>
                <w:color w:val="000000"/>
                <w:vertAlign w:val="subscript"/>
              </w:rPr>
              <w:t xml:space="preserve"> </w:t>
            </w:r>
          </w:p>
        </w:tc>
        <w:tc>
          <w:tcPr>
            <w:tcW w:w="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затының орташа концентрациясы;</w:t>
            </w:r>
          </w:p>
        </w:tc>
      </w:tr>
      <w:tr>
        <w:trPr>
          <w:trHeight w:val="30" w:hRule="atLeast"/>
        </w:trPr>
        <w:tc>
          <w:tcPr>
            <w:tcW w:w="1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ЖШК</w:t>
            </w:r>
            <w:r>
              <w:rPr>
                <w:rFonts w:ascii="Times New Roman"/>
                <w:b w:val="false"/>
                <w:i w:val="false"/>
                <w:color w:val="000000"/>
                <w:vertAlign w:val="subscript"/>
              </w:rPr>
              <w:t>i</w:t>
            </w:r>
          </w:p>
        </w:tc>
        <w:tc>
          <w:tcPr>
            <w:tcW w:w="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затының орташа тәуліктік жол берілетін шекті концентрациясы;</w:t>
            </w:r>
          </w:p>
        </w:tc>
      </w:tr>
      <w:tr>
        <w:trPr>
          <w:trHeight w:val="30" w:hRule="atLeast"/>
        </w:trPr>
        <w:tc>
          <w:tcPr>
            <w:tcW w:w="1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i</w:t>
            </w:r>
          </w:p>
        </w:tc>
        <w:tc>
          <w:tcPr>
            <w:tcW w:w="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қоспа қауіптілігінің 1, 2, 3 және 4 сыныптары үшін тиісінше 1,7; 1,3; 0,1 және 0,9 теңестіріліп алынатын і затының қауіптілік класына байланысты коэффициент.</w:t>
            </w:r>
          </w:p>
        </w:tc>
      </w:tr>
    </w:tbl>
    <w:bookmarkStart w:name="z11" w:id="8"/>
    <w:p>
      <w:pPr>
        <w:spacing w:after="0"/>
        <w:ind w:left="0"/>
        <w:jc w:val="both"/>
      </w:pPr>
      <w:r>
        <w:rPr>
          <w:rFonts w:ascii="Times New Roman"/>
          <w:b w:val="false"/>
          <w:i w:val="false"/>
          <w:color w:val="000000"/>
          <w:sz w:val="28"/>
        </w:rPr>
        <w:t>
      Ластаушы заттар концентрациясы абсолюттік мәндерінің өлшем бірлігі ретінде ауаның текше метріндегі (м</w:t>
      </w:r>
      <w:r>
        <w:rPr>
          <w:rFonts w:ascii="Times New Roman"/>
          <w:b w:val="false"/>
          <w:i w:val="false"/>
          <w:color w:val="000000"/>
          <w:vertAlign w:val="superscript"/>
        </w:rPr>
        <w:t>3</w:t>
      </w:r>
      <w:r>
        <w:rPr>
          <w:rFonts w:ascii="Times New Roman"/>
          <w:b w:val="false"/>
          <w:i w:val="false"/>
          <w:color w:val="000000"/>
          <w:sz w:val="28"/>
        </w:rPr>
        <w:t>) ластаушы заттардың микрограмм (мкг) санын қолдану қажет.</w:t>
      </w:r>
    </w:p>
    <w:bookmarkEnd w:id="8"/>
    <w:bookmarkStart w:name="z12" w:id="9"/>
    <w:p>
      <w:pPr>
        <w:spacing w:after="0"/>
        <w:ind w:left="0"/>
        <w:jc w:val="both"/>
      </w:pPr>
      <w:r>
        <w:rPr>
          <w:rFonts w:ascii="Times New Roman"/>
          <w:b w:val="false"/>
          <w:i w:val="false"/>
          <w:color w:val="000000"/>
          <w:sz w:val="28"/>
        </w:rPr>
        <w:t>
      Бағалау әдістеріне сәйкес ластану деңгейіне байланысты ауа сапасының төрт санаты бар:</w:t>
      </w:r>
    </w:p>
    <w:bookmarkEnd w:id="9"/>
    <w:p>
      <w:pPr>
        <w:spacing w:after="0"/>
        <w:ind w:left="0"/>
        <w:jc w:val="both"/>
      </w:pPr>
      <w:r>
        <w:rPr>
          <w:rFonts w:ascii="Times New Roman"/>
          <w:b w:val="false"/>
          <w:i w:val="false"/>
          <w:color w:val="000000"/>
          <w:sz w:val="28"/>
        </w:rPr>
        <w:t xml:space="preserve">
      1) АЛИ </w:t>
      </w:r>
      <w:r>
        <w:rPr>
          <w:rFonts w:ascii="Times New Roman"/>
          <w:b w:val="false"/>
          <w:i w:val="false"/>
          <w:color w:val="000000"/>
          <w:sz w:val="28"/>
          <w:u w:val="single"/>
        </w:rPr>
        <w:t>&lt;</w:t>
      </w:r>
      <w:r>
        <w:rPr>
          <w:rFonts w:ascii="Times New Roman"/>
          <w:b w:val="false"/>
          <w:i w:val="false"/>
          <w:color w:val="000000"/>
          <w:sz w:val="28"/>
        </w:rPr>
        <w:t xml:space="preserve"> 5 – төмен;</w:t>
      </w:r>
    </w:p>
    <w:p>
      <w:pPr>
        <w:spacing w:after="0"/>
        <w:ind w:left="0"/>
        <w:jc w:val="both"/>
      </w:pPr>
      <w:r>
        <w:rPr>
          <w:rFonts w:ascii="Times New Roman"/>
          <w:b w:val="false"/>
          <w:i w:val="false"/>
          <w:color w:val="000000"/>
          <w:sz w:val="28"/>
        </w:rPr>
        <w:t>
      2) 5 &lt; АЛИ &lt; 7 болғанда – көтеріңкі;</w:t>
      </w:r>
    </w:p>
    <w:p>
      <w:pPr>
        <w:spacing w:after="0"/>
        <w:ind w:left="0"/>
        <w:jc w:val="both"/>
      </w:pPr>
      <w:r>
        <w:rPr>
          <w:rFonts w:ascii="Times New Roman"/>
          <w:b w:val="false"/>
          <w:i w:val="false"/>
          <w:color w:val="000000"/>
          <w:sz w:val="28"/>
        </w:rPr>
        <w:t xml:space="preserve">
      3) 7 </w:t>
      </w:r>
      <w:r>
        <w:rPr>
          <w:rFonts w:ascii="Times New Roman"/>
          <w:b w:val="false"/>
          <w:i w:val="false"/>
          <w:color w:val="000000"/>
          <w:sz w:val="28"/>
          <w:u w:val="single"/>
        </w:rPr>
        <w:t>&lt;</w:t>
      </w:r>
      <w:r>
        <w:rPr>
          <w:rFonts w:ascii="Times New Roman"/>
          <w:b w:val="false"/>
          <w:i w:val="false"/>
          <w:color w:val="000000"/>
          <w:sz w:val="28"/>
        </w:rPr>
        <w:t xml:space="preserve"> АЛИ ˂ 14 болғанда – жоғары;</w:t>
      </w:r>
    </w:p>
    <w:p>
      <w:pPr>
        <w:spacing w:after="0"/>
        <w:ind w:left="0"/>
        <w:jc w:val="both"/>
      </w:pPr>
      <w:r>
        <w:rPr>
          <w:rFonts w:ascii="Times New Roman"/>
          <w:b w:val="false"/>
          <w:i w:val="false"/>
          <w:color w:val="000000"/>
          <w:sz w:val="28"/>
        </w:rPr>
        <w:t xml:space="preserve">
      4) АЛИ </w:t>
      </w:r>
      <w:r>
        <w:rPr>
          <w:rFonts w:ascii="Times New Roman"/>
          <w:b w:val="false"/>
          <w:i w:val="false"/>
          <w:color w:val="000000"/>
          <w:sz w:val="28"/>
          <w:u w:val="single"/>
        </w:rPr>
        <w:t>&gt;</w:t>
      </w:r>
      <w:r>
        <w:rPr>
          <w:rFonts w:ascii="Times New Roman"/>
          <w:b w:val="false"/>
          <w:i w:val="false"/>
          <w:color w:val="000000"/>
          <w:sz w:val="28"/>
        </w:rPr>
        <w:t xml:space="preserve"> 14 болғанда – өте жоғары.";</w:t>
      </w:r>
    </w:p>
    <w:bookmarkStart w:name="z13" w:id="10"/>
    <w:p>
      <w:pPr>
        <w:spacing w:after="0"/>
        <w:ind w:left="0"/>
        <w:jc w:val="both"/>
      </w:pPr>
      <w:r>
        <w:rPr>
          <w:rFonts w:ascii="Times New Roman"/>
          <w:b w:val="false"/>
          <w:i w:val="false"/>
          <w:color w:val="000000"/>
          <w:sz w:val="28"/>
        </w:rPr>
        <w:t>
      13-тармақтың төртінші бөлігі мынадай редакцияда жазылсын:</w:t>
      </w:r>
    </w:p>
    <w:bookmarkEnd w:id="10"/>
    <w:p>
      <w:pPr>
        <w:spacing w:after="0"/>
        <w:ind w:left="0"/>
        <w:jc w:val="both"/>
      </w:pPr>
      <w:r>
        <w:rPr>
          <w:rFonts w:ascii="Times New Roman"/>
          <w:b w:val="false"/>
          <w:i w:val="false"/>
          <w:color w:val="000000"/>
          <w:sz w:val="28"/>
        </w:rPr>
        <w:t>
      "Қазақстан Республикасы Климаттың өзгеруі туралы Біріккен Ұлттар Ұйымының негіздемелік конвенциясын (бұдан әрі – БҰҰ КӨНК) ратификациялаған ел ретінде атмосфералық жауын-шашын түсуінің өзгеруін жүйелі байқауды жүргізеді және деректер базасын жасауды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алтыншы бөлігі мынадай редакцияда жазылсын:</w:t>
      </w:r>
    </w:p>
    <w:p>
      <w:pPr>
        <w:spacing w:after="0"/>
        <w:ind w:left="0"/>
        <w:jc w:val="both"/>
      </w:pPr>
      <w:r>
        <w:rPr>
          <w:rFonts w:ascii="Times New Roman"/>
          <w:b w:val="false"/>
          <w:i w:val="false"/>
          <w:color w:val="000000"/>
          <w:sz w:val="28"/>
        </w:rPr>
        <w:t>
      "Бұл көрсеткіш су алу, пайдалану және суды бұру туралы жыл сайынғы ведомстволық статистикалық байқаудың негізінде қадағаланады және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"Бұл көрсеткіш су алу, пайдалану және суды бұру туралы жыл сайынғы ведомстволық статистикалық байқаудың негізінде қадағаланады және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Өзен суларындағы оттегінің биохимиялық тұтынылуы (бұдан әрі – ОБҚ) және амонийлік азоттың концентрациясы көрсеткіші өзендердің тез қышқылданатын органикалық заттар және амонийлік азоттың ластану деңгейін анықтауға мүмкіндік береді.</w:t>
      </w:r>
    </w:p>
    <w:bookmarkStart w:name="z17" w:id="11"/>
    <w:p>
      <w:pPr>
        <w:spacing w:after="0"/>
        <w:ind w:left="0"/>
        <w:jc w:val="both"/>
      </w:pPr>
      <w:r>
        <w:rPr>
          <w:rFonts w:ascii="Times New Roman"/>
          <w:b w:val="false"/>
          <w:i w:val="false"/>
          <w:color w:val="000000"/>
          <w:sz w:val="28"/>
        </w:rPr>
        <w:t>
      Органикалық заттардың үлкен мөлшерінің болуы (микроорганизмдер және органикалық қалдықтардың іріп шіруі) өзен суларының химиялық және биологиялық сапасының төмендеуіне су бірлестіктерінің биоалуандығының азаюына, микробиологиялық ластануға әкеп соғады, ол пайдаланып жүрген су сапасына кері әсерін тигізеді. Органикалық заттардың көзі ретінде су тазалау имараттарының төгінділері өнеркәсіптік ақаба сулар мен ауыл шаруашылығы алқаптарының ағындылары болып табылады. Органикалық ластану оттегіні қажет ететіндер үшін айналым процесінің жылдамдауына ықпал етеді. Бұл оттегі жетіспеушілігіне әкеп соғады (анаэробтық жағдай). Азоттың анаэробты жағдайда өз қалпына келген түрге өзгеруі, өз кезегінде амоний азоты концентрациясының жоғарылауына әкеп соғады, ол температураға байланысты концентрацияда белгілі бір деңгейді минерализациялар және су рh көрсеткішін жоғарылататын су бірлестіктері үшін улы болып табылады.</w:t>
      </w:r>
    </w:p>
    <w:bookmarkEnd w:id="11"/>
    <w:bookmarkStart w:name="z18" w:id="12"/>
    <w:p>
      <w:pPr>
        <w:spacing w:after="0"/>
        <w:ind w:left="0"/>
        <w:jc w:val="both"/>
      </w:pPr>
      <w:r>
        <w:rPr>
          <w:rFonts w:ascii="Times New Roman"/>
          <w:b w:val="false"/>
          <w:i w:val="false"/>
          <w:color w:val="000000"/>
          <w:sz w:val="28"/>
        </w:rPr>
        <w:t>
      Көрсеткіш су тоғандарындағы оттегі көлемі ретінің болу деңгейі немесе ОБҚ ретінде айқындалады, яғни органикалық заттардың қышқылдануы үшін қажетті көміртегіне организмдердің қажеттігі және өзендердегі аммоний иондарының концентрациясы. ОБҚ орташа жылдық шамасы 5-7 күндік инкубациялық кезеңнен ОБҚ</w:t>
      </w:r>
      <w:r>
        <w:rPr>
          <w:rFonts w:ascii="Times New Roman"/>
          <w:b w:val="false"/>
          <w:i w:val="false"/>
          <w:color w:val="000000"/>
          <w:vertAlign w:val="subscript"/>
        </w:rPr>
        <w:t>5</w:t>
      </w:r>
      <w:r>
        <w:rPr>
          <w:rFonts w:ascii="Times New Roman"/>
          <w:b w:val="false"/>
          <w:i w:val="false"/>
          <w:color w:val="000000"/>
          <w:sz w:val="28"/>
        </w:rPr>
        <w:t>/ ОБҚ</w:t>
      </w:r>
      <w:r>
        <w:rPr>
          <w:rFonts w:ascii="Times New Roman"/>
          <w:b w:val="false"/>
          <w:i w:val="false"/>
          <w:color w:val="000000"/>
          <w:vertAlign w:val="subscript"/>
        </w:rPr>
        <w:t>7</w:t>
      </w:r>
      <w:r>
        <w:rPr>
          <w:rFonts w:ascii="Times New Roman"/>
          <w:b w:val="false"/>
          <w:i w:val="false"/>
          <w:color w:val="000000"/>
          <w:sz w:val="28"/>
        </w:rPr>
        <w:t>) кейінгі 1 литрге О</w:t>
      </w:r>
      <w:r>
        <w:rPr>
          <w:rFonts w:ascii="Times New Roman"/>
          <w:b w:val="false"/>
          <w:i w:val="false"/>
          <w:color w:val="000000"/>
          <w:vertAlign w:val="subscript"/>
        </w:rPr>
        <w:t>2</w:t>
      </w:r>
      <w:r>
        <w:rPr>
          <w:rFonts w:ascii="Times New Roman"/>
          <w:b w:val="false"/>
          <w:i w:val="false"/>
          <w:color w:val="000000"/>
          <w:sz w:val="28"/>
        </w:rPr>
        <w:t xml:space="preserve"> мкг-да; амоний иондарының концентрациясы 1 литрге амоний иондарының мкг-да көрсетіледі.</w:t>
      </w:r>
    </w:p>
    <w:bookmarkEnd w:id="12"/>
    <w:bookmarkStart w:name="z19" w:id="13"/>
    <w:p>
      <w:pPr>
        <w:spacing w:after="0"/>
        <w:ind w:left="0"/>
        <w:jc w:val="both"/>
      </w:pPr>
      <w:r>
        <w:rPr>
          <w:rFonts w:ascii="Times New Roman"/>
          <w:b w:val="false"/>
          <w:i w:val="false"/>
          <w:color w:val="000000"/>
          <w:sz w:val="28"/>
        </w:rPr>
        <w:t>
      Осы көрсеткіш өзендердегі ОБҚ және NН</w:t>
      </w:r>
      <w:r>
        <w:rPr>
          <w:rFonts w:ascii="Times New Roman"/>
          <w:b w:val="false"/>
          <w:i w:val="false"/>
          <w:color w:val="000000"/>
          <w:vertAlign w:val="subscript"/>
        </w:rPr>
        <w:t xml:space="preserve">4 </w:t>
      </w:r>
      <w:r>
        <w:rPr>
          <w:rFonts w:ascii="Times New Roman"/>
          <w:b w:val="false"/>
          <w:i w:val="false"/>
          <w:color w:val="000000"/>
          <w:sz w:val="28"/>
        </w:rPr>
        <w:t>қатысты ағымдағы жағдайды және трендіні сипаттайды. Бақылау бекеттерінің саны және оларды орналастыру су ағынының негізгі морфологиялық типтері бойынша және антропогендік жүктемені өткізетін осы учаскелердегі осы көрсеткіштің мәндеріндегі ОБҚ фонының шамасы туралы ақпарат алуды қамтамасыз етеді. Бақылаудың уақыт параметрлері гидрологиялық фазаларға сәйкес келеді, ал бақылау жиілігі анық статистикалық ақпаратты алу қажеттілігінен анықталады.</w:t>
      </w:r>
    </w:p>
    <w:bookmarkEnd w:id="13"/>
    <w:bookmarkStart w:name="z20" w:id="14"/>
    <w:p>
      <w:pPr>
        <w:spacing w:after="0"/>
        <w:ind w:left="0"/>
        <w:jc w:val="both"/>
      </w:pPr>
      <w:r>
        <w:rPr>
          <w:rFonts w:ascii="Times New Roman"/>
          <w:b w:val="false"/>
          <w:i w:val="false"/>
          <w:color w:val="000000"/>
          <w:sz w:val="28"/>
        </w:rPr>
        <w:t>
      Гидрохимиялық көрсеткіштер бойынша су сапасының негізгі өлшемшарттары балық шаруашылығы, шаруашылық-ауызсу және коммуналдық-тұрмыстық су пайдаланудың су қоймалары үшін ластаушы заттардың ШРШ мәні болып табылады. Құрғақ жерлердегі беткі сулардың ластану деңгейі ерітілген оттегі және ОБҚ</w:t>
      </w:r>
      <w:r>
        <w:rPr>
          <w:rFonts w:ascii="Times New Roman"/>
          <w:b w:val="false"/>
          <w:i w:val="false"/>
          <w:color w:val="000000"/>
          <w:vertAlign w:val="subscript"/>
        </w:rPr>
        <w:t xml:space="preserve">5 </w:t>
      </w:r>
      <w:r>
        <w:rPr>
          <w:rFonts w:ascii="Times New Roman"/>
          <w:b w:val="false"/>
          <w:i w:val="false"/>
          <w:color w:val="000000"/>
          <w:sz w:val="28"/>
        </w:rPr>
        <w:t>қоса алғанда, алты көрсеткіш үшін формула бойынша есептелетін судың ластануының кешендік индексінің шамасы бойынша (СЛИ</w:t>
      </w:r>
      <w:r>
        <w:rPr>
          <w:rFonts w:ascii="Times New Roman"/>
          <w:b w:val="false"/>
          <w:i w:val="false"/>
          <w:color w:val="000000"/>
          <w:vertAlign w:val="subscript"/>
        </w:rPr>
        <w:t>6</w:t>
      </w:r>
      <w:r>
        <w:rPr>
          <w:rFonts w:ascii="Times New Roman"/>
          <w:b w:val="false"/>
          <w:i w:val="false"/>
          <w:color w:val="000000"/>
          <w:sz w:val="28"/>
        </w:rPr>
        <w:t>) бағаланады:</w:t>
      </w:r>
    </w:p>
    <w:bookmarkEnd w:id="14"/>
    <w:p>
      <w:pPr>
        <w:spacing w:after="0"/>
        <w:ind w:left="0"/>
        <w:jc w:val="both"/>
      </w:pPr>
      <w:r>
        <w:rPr>
          <w:rFonts w:ascii="Times New Roman"/>
          <w:b w:val="false"/>
          <w:i w:val="false"/>
          <w:color w:val="000000"/>
          <w:sz w:val="28"/>
        </w:rPr>
        <w:t>
      СЛИ</w:t>
      </w:r>
      <w:r>
        <w:rPr>
          <w:rFonts w:ascii="Times New Roman"/>
          <w:b w:val="false"/>
          <w:i w:val="false"/>
          <w:color w:val="000000"/>
          <w:vertAlign w:val="subscript"/>
        </w:rPr>
        <w:t>6</w:t>
      </w:r>
      <w:r>
        <w:rPr>
          <w:rFonts w:ascii="Times New Roman"/>
          <w:b w:val="false"/>
          <w:i w:val="false"/>
          <w:color w:val="000000"/>
          <w:sz w:val="28"/>
        </w:rPr>
        <w:t xml:space="preserve"> =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(q</w:t>
      </w:r>
      <w:r>
        <w:rPr>
          <w:rFonts w:ascii="Times New Roman"/>
          <w:b w:val="false"/>
          <w:i w:val="false"/>
          <w:color w:val="000000"/>
          <w:vertAlign w:val="subscript"/>
        </w:rPr>
        <w:t>ср</w:t>
      </w:r>
      <w:r>
        <w:rPr>
          <w:rFonts w:ascii="Times New Roman"/>
          <w:b w:val="false"/>
          <w:i w:val="false"/>
          <w:color w:val="000000"/>
          <w:vertAlign w:val="subscript"/>
        </w:rPr>
        <w:t>i</w:t>
      </w:r>
      <w:r>
        <w:rPr>
          <w:rFonts w:ascii="Times New Roman"/>
          <w:b w:val="false"/>
          <w:i w:val="false"/>
          <w:color w:val="000000"/>
          <w:sz w:val="28"/>
        </w:rPr>
        <w:t>/ ШРШ</w:t>
      </w:r>
      <w:r>
        <w:rPr>
          <w:rFonts w:ascii="Times New Roman"/>
          <w:b w:val="false"/>
          <w:i w:val="false"/>
          <w:color w:val="000000"/>
          <w:vertAlign w:val="subscript"/>
        </w:rPr>
        <w:t>i</w:t>
      </w:r>
      <w:r>
        <w:rPr>
          <w:rFonts w:ascii="Times New Roman"/>
          <w:b w:val="false"/>
          <w:i w:val="false"/>
          <w:color w:val="000000"/>
          <w:sz w:val="28"/>
        </w:rPr>
        <w:t>)/6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52"/>
        <w:gridCol w:w="223"/>
        <w:gridCol w:w="9525"/>
      </w:tblGrid>
      <w:tr>
        <w:trPr>
          <w:trHeight w:val="30" w:hRule="atLeast"/>
        </w:trPr>
        <w:tc>
          <w:tcPr>
            <w:tcW w:w="2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r>
              <w:rPr>
                <w:rFonts w:ascii="Times New Roman"/>
                <w:b w:val="false"/>
                <w:i w:val="false"/>
                <w:color w:val="000000"/>
                <w:vertAlign w:val="subscript"/>
              </w:rPr>
              <w:t>c</w:t>
            </w:r>
            <w:r>
              <w:rPr>
                <w:rFonts w:ascii="Times New Roman"/>
                <w:b w:val="false"/>
                <w:i w:val="false"/>
                <w:color w:val="000000"/>
                <w:vertAlign w:val="subscript"/>
              </w:rPr>
              <w:t>р</w:t>
            </w:r>
            <w:r>
              <w:rPr>
                <w:rFonts w:ascii="Times New Roman"/>
                <w:b w:val="false"/>
                <w:i w:val="false"/>
                <w:color w:val="000000"/>
                <w:vertAlign w:val="subscript"/>
              </w:rPr>
              <w:t>i</w:t>
            </w:r>
          </w:p>
        </w:tc>
        <w:tc>
          <w:tcPr>
            <w:tcW w:w="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i-затының орташа концентрациясы;</w:t>
            </w:r>
          </w:p>
        </w:tc>
      </w:tr>
      <w:tr>
        <w:trPr>
          <w:trHeight w:val="30" w:hRule="atLeast"/>
        </w:trPr>
        <w:tc>
          <w:tcPr>
            <w:tcW w:w="2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ШРШ</w:t>
            </w:r>
            <w:r>
              <w:rPr>
                <w:rFonts w:ascii="Times New Roman"/>
                <w:b w:val="false"/>
                <w:i w:val="false"/>
                <w:color w:val="000000"/>
                <w:vertAlign w:val="subscript"/>
              </w:rPr>
              <w:t xml:space="preserve">i </w:t>
            </w:r>
          </w:p>
        </w:tc>
        <w:tc>
          <w:tcPr>
            <w:tcW w:w="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i-затының орташа тәуліктік шекті рұқсат етілетін концентрациясы;</w:t>
            </w:r>
          </w:p>
        </w:tc>
      </w:tr>
      <w:tr>
        <w:trPr>
          <w:trHeight w:val="30" w:hRule="atLeast"/>
        </w:trPr>
        <w:tc>
          <w:tcPr>
            <w:tcW w:w="2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ШРШ асу немесе аспауына қарамастан, ең көп мәні бар есептеу үшін пайдаланылатын көрсеткіштердің-ингредиенттердің (пестицидтерден басқа) қатаң шектелген мөлшері.</w:t>
            </w:r>
          </w:p>
        </w:tc>
      </w:tr>
    </w:tbl>
    <w:bookmarkStart w:name="z21" w:id="15"/>
    <w:p>
      <w:pPr>
        <w:spacing w:after="0"/>
        <w:ind w:left="0"/>
        <w:jc w:val="both"/>
      </w:pPr>
      <w:r>
        <w:rPr>
          <w:rFonts w:ascii="Times New Roman"/>
          <w:b w:val="false"/>
          <w:i w:val="false"/>
          <w:color w:val="000000"/>
          <w:sz w:val="28"/>
        </w:rPr>
        <w:t>
      СЛИ шамасы бойынша су сапасының жіктелуі анықталады:</w:t>
      </w:r>
    </w:p>
    <w:bookmarkEnd w:id="15"/>
    <w:p>
      <w:pPr>
        <w:spacing w:after="0"/>
        <w:ind w:left="0"/>
        <w:jc w:val="both"/>
      </w:pPr>
      <w:r>
        <w:rPr>
          <w:rFonts w:ascii="Times New Roman"/>
          <w:b w:val="false"/>
          <w:i w:val="false"/>
          <w:color w:val="000000"/>
          <w:sz w:val="28"/>
        </w:rPr>
        <w:t>
      1) 0,3 аз немесе тең – таза;</w:t>
      </w:r>
    </w:p>
    <w:p>
      <w:pPr>
        <w:spacing w:after="0"/>
        <w:ind w:left="0"/>
        <w:jc w:val="both"/>
      </w:pPr>
      <w:r>
        <w:rPr>
          <w:rFonts w:ascii="Times New Roman"/>
          <w:b w:val="false"/>
          <w:i w:val="false"/>
          <w:color w:val="000000"/>
          <w:sz w:val="28"/>
        </w:rPr>
        <w:t>
      2) 0,3-1,0 аса – салыстырмалы таза;</w:t>
      </w:r>
    </w:p>
    <w:p>
      <w:pPr>
        <w:spacing w:after="0"/>
        <w:ind w:left="0"/>
        <w:jc w:val="both"/>
      </w:pPr>
      <w:r>
        <w:rPr>
          <w:rFonts w:ascii="Times New Roman"/>
          <w:b w:val="false"/>
          <w:i w:val="false"/>
          <w:color w:val="000000"/>
          <w:sz w:val="28"/>
        </w:rPr>
        <w:t>
      3) 1,0-2,5 аса – орташа ластанған;</w:t>
      </w:r>
    </w:p>
    <w:p>
      <w:pPr>
        <w:spacing w:after="0"/>
        <w:ind w:left="0"/>
        <w:jc w:val="both"/>
      </w:pPr>
      <w:r>
        <w:rPr>
          <w:rFonts w:ascii="Times New Roman"/>
          <w:b w:val="false"/>
          <w:i w:val="false"/>
          <w:color w:val="000000"/>
          <w:sz w:val="28"/>
        </w:rPr>
        <w:t>
      4) 2,5-4,0 аса – ластанған;</w:t>
      </w:r>
    </w:p>
    <w:p>
      <w:pPr>
        <w:spacing w:after="0"/>
        <w:ind w:left="0"/>
        <w:jc w:val="both"/>
      </w:pPr>
      <w:r>
        <w:rPr>
          <w:rFonts w:ascii="Times New Roman"/>
          <w:b w:val="false"/>
          <w:i w:val="false"/>
          <w:color w:val="000000"/>
          <w:sz w:val="28"/>
        </w:rPr>
        <w:t>
      5) 4,0-6,0 аса – лас;</w:t>
      </w:r>
    </w:p>
    <w:p>
      <w:pPr>
        <w:spacing w:after="0"/>
        <w:ind w:left="0"/>
        <w:jc w:val="both"/>
      </w:pPr>
      <w:r>
        <w:rPr>
          <w:rFonts w:ascii="Times New Roman"/>
          <w:b w:val="false"/>
          <w:i w:val="false"/>
          <w:color w:val="000000"/>
          <w:sz w:val="28"/>
        </w:rPr>
        <w:t>
      6) 6,0-10,0 аса – өте лас;</w:t>
      </w:r>
    </w:p>
    <w:p>
      <w:pPr>
        <w:spacing w:after="0"/>
        <w:ind w:left="0"/>
        <w:jc w:val="both"/>
      </w:pPr>
      <w:r>
        <w:rPr>
          <w:rFonts w:ascii="Times New Roman"/>
          <w:b w:val="false"/>
          <w:i w:val="false"/>
          <w:color w:val="000000"/>
          <w:sz w:val="28"/>
        </w:rPr>
        <w:t>
      7) 10,0 аса – тым лас.";</w:t>
      </w:r>
    </w:p>
    <w:bookmarkStart w:name="z22" w:id="16"/>
    <w:p>
      <w:pPr>
        <w:spacing w:after="0"/>
        <w:ind w:left="0"/>
        <w:jc w:val="both"/>
      </w:pPr>
      <w:r>
        <w:rPr>
          <w:rFonts w:ascii="Times New Roman"/>
          <w:b w:val="false"/>
          <w:i w:val="false"/>
          <w:color w:val="000000"/>
          <w:sz w:val="28"/>
        </w:rPr>
        <w:t>
      25-тармақтың үшінші бөлігі мынадай редакцияда жазылсын:</w:t>
      </w:r>
    </w:p>
    <w:bookmarkEnd w:id="16"/>
    <w:p>
      <w:pPr>
        <w:spacing w:after="0"/>
        <w:ind w:left="0"/>
        <w:jc w:val="both"/>
      </w:pPr>
      <w:r>
        <w:rPr>
          <w:rFonts w:ascii="Times New Roman"/>
          <w:b w:val="false"/>
          <w:i w:val="false"/>
          <w:color w:val="000000"/>
          <w:sz w:val="28"/>
        </w:rPr>
        <w:t>
      "Бұл көрсеткіш су алу, пайдалану және суды бұру туралы жыл сайынғы ведомстволық статистикалық байқаудың негізінде қадағаланады және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сегізінші бөлігі мынадай редакцияда жазылсын:</w:t>
      </w:r>
    </w:p>
    <w:p>
      <w:pPr>
        <w:spacing w:after="0"/>
        <w:ind w:left="0"/>
        <w:jc w:val="both"/>
      </w:pPr>
      <w:r>
        <w:rPr>
          <w:rFonts w:ascii="Times New Roman"/>
          <w:b w:val="false"/>
          <w:i w:val="false"/>
          <w:color w:val="000000"/>
          <w:sz w:val="28"/>
        </w:rPr>
        <w:t>
      "Түрлері бойынша жабайы аңдар мен құстардың саны туралы деректер жыл сайынғы әкімшілік деректердің негізінде қадағаланады және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жетінші бөлігі мынадай редакцияда жазылсын:</w:t>
      </w:r>
    </w:p>
    <w:p>
      <w:pPr>
        <w:spacing w:after="0"/>
        <w:ind w:left="0"/>
        <w:jc w:val="both"/>
      </w:pPr>
      <w:r>
        <w:rPr>
          <w:rFonts w:ascii="Times New Roman"/>
          <w:b w:val="false"/>
          <w:i w:val="false"/>
          <w:color w:val="000000"/>
          <w:sz w:val="28"/>
        </w:rPr>
        <w:t>
      "Ауыл шаруашылығында минералдық және органикалық тыңайтқыштарды қолдану бойынша деректерді қалыптастыруды СК ауыл шаруашылығы дақылдарының түсімін жинау туралы жыл сайынғы жалпымемлекеттік статистикалық байқау бойынша жүзеге асырады. Бұдан басқа, іріктемелі байқау әдісімен шаруа немесе фермер қожалықтарында және жұртшылық шаруашылықтарында минералдық және органикалық тыңайтқыштардың пайдалану көлемі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"37. Қоғамды энергетикадан ластану бөлігінде қоршаған ортаның жағдайы және қорғау туралы ақпараттандыру үшін СК мынадай негізгі көрсеткіштерді қадағалайды және жариялайды:</w:t>
      </w:r>
    </w:p>
    <w:p>
      <w:pPr>
        <w:spacing w:after="0"/>
        <w:ind w:left="0"/>
        <w:jc w:val="both"/>
      </w:pPr>
      <w:r>
        <w:rPr>
          <w:rFonts w:ascii="Times New Roman"/>
          <w:b w:val="false"/>
          <w:i w:val="false"/>
          <w:color w:val="000000"/>
          <w:sz w:val="28"/>
        </w:rPr>
        <w:t>
      1) энергияны түпкілікті тұтыну;</w:t>
      </w:r>
    </w:p>
    <w:p>
      <w:pPr>
        <w:spacing w:after="0"/>
        <w:ind w:left="0"/>
        <w:jc w:val="both"/>
      </w:pPr>
      <w:r>
        <w:rPr>
          <w:rFonts w:ascii="Times New Roman"/>
          <w:b w:val="false"/>
          <w:i w:val="false"/>
          <w:color w:val="000000"/>
          <w:sz w:val="28"/>
        </w:rPr>
        <w:t>
      2) энергияны бастапқы тұтыну;</w:t>
      </w:r>
    </w:p>
    <w:p>
      <w:pPr>
        <w:spacing w:after="0"/>
        <w:ind w:left="0"/>
        <w:jc w:val="both"/>
      </w:pPr>
      <w:r>
        <w:rPr>
          <w:rFonts w:ascii="Times New Roman"/>
          <w:b w:val="false"/>
          <w:i w:val="false"/>
          <w:color w:val="000000"/>
          <w:sz w:val="28"/>
        </w:rPr>
        <w:t>
      3) ЖІӨ энергосыйымдылығы;</w:t>
      </w:r>
    </w:p>
    <w:p>
      <w:pPr>
        <w:spacing w:after="0"/>
        <w:ind w:left="0"/>
        <w:jc w:val="both"/>
      </w:pPr>
      <w:r>
        <w:rPr>
          <w:rFonts w:ascii="Times New Roman"/>
          <w:b w:val="false"/>
          <w:i w:val="false"/>
          <w:color w:val="000000"/>
          <w:sz w:val="28"/>
        </w:rPr>
        <w:t>
      4) электр энергиясы өндірісінің жалпы көлеміндегі жаңғыртылатын энергия көздері өндірген электр энергиясының үлесі.";</w:t>
      </w:r>
    </w:p>
    <w:bookmarkStart w:name="z26" w:id="17"/>
    <w:p>
      <w:pPr>
        <w:spacing w:after="0"/>
        <w:ind w:left="0"/>
        <w:jc w:val="both"/>
      </w:pPr>
      <w:r>
        <w:rPr>
          <w:rFonts w:ascii="Times New Roman"/>
          <w:b w:val="false"/>
          <w:i w:val="false"/>
          <w:color w:val="000000"/>
          <w:sz w:val="28"/>
        </w:rPr>
        <w:t>
      38-тармақтың екінші бөлігі мынадай редакцияда жазылсын:</w:t>
      </w:r>
    </w:p>
    <w:bookmarkEnd w:id="17"/>
    <w:p>
      <w:pPr>
        <w:spacing w:after="0"/>
        <w:ind w:left="0"/>
        <w:jc w:val="both"/>
      </w:pPr>
      <w:r>
        <w:rPr>
          <w:rFonts w:ascii="Times New Roman"/>
          <w:b w:val="false"/>
          <w:i w:val="false"/>
          <w:color w:val="000000"/>
          <w:sz w:val="28"/>
        </w:rPr>
        <w:t>
      "Қоғамды көліктен ластану бөлігінде қоршаған ортаның жағдайы және оны қорғау туралы ақпараттандыру үшін СК мынадай негізгі көрсеткіштерді қадағалайды және жариялайды:</w:t>
      </w:r>
    </w:p>
    <w:p>
      <w:pPr>
        <w:spacing w:after="0"/>
        <w:ind w:left="0"/>
        <w:jc w:val="both"/>
      </w:pPr>
      <w:r>
        <w:rPr>
          <w:rFonts w:ascii="Times New Roman"/>
          <w:b w:val="false"/>
          <w:i w:val="false"/>
          <w:color w:val="000000"/>
          <w:sz w:val="28"/>
        </w:rPr>
        <w:t>
      1) жолаушы айналымы;</w:t>
      </w:r>
    </w:p>
    <w:p>
      <w:pPr>
        <w:spacing w:after="0"/>
        <w:ind w:left="0"/>
        <w:jc w:val="both"/>
      </w:pPr>
      <w:r>
        <w:rPr>
          <w:rFonts w:ascii="Times New Roman"/>
          <w:b w:val="false"/>
          <w:i w:val="false"/>
          <w:color w:val="000000"/>
          <w:sz w:val="28"/>
        </w:rPr>
        <w:t>
      2) жүк айналымы;</w:t>
      </w:r>
    </w:p>
    <w:p>
      <w:pPr>
        <w:spacing w:after="0"/>
        <w:ind w:left="0"/>
        <w:jc w:val="both"/>
      </w:pPr>
      <w:r>
        <w:rPr>
          <w:rFonts w:ascii="Times New Roman"/>
          <w:b w:val="false"/>
          <w:i w:val="false"/>
          <w:color w:val="000000"/>
          <w:sz w:val="28"/>
        </w:rPr>
        <w:t>
      3) пайдаланылатын отынның түрлерi бойынша бөліністегі автокөлiк құралдары паркінің құрамы;</w:t>
      </w:r>
    </w:p>
    <w:p>
      <w:pPr>
        <w:spacing w:after="0"/>
        <w:ind w:left="0"/>
        <w:jc w:val="both"/>
      </w:pPr>
      <w:r>
        <w:rPr>
          <w:rFonts w:ascii="Times New Roman"/>
          <w:b w:val="false"/>
          <w:i w:val="false"/>
          <w:color w:val="000000"/>
          <w:sz w:val="28"/>
        </w:rPr>
        <w:t>
      4) автокөлiк құралдары паркінің орташа алғандағы құрылған жылы.";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тоғызыншы бөлігі мынадай редакцияда жазылсын:</w:t>
      </w:r>
    </w:p>
    <w:p>
      <w:pPr>
        <w:spacing w:after="0"/>
        <w:ind w:left="0"/>
        <w:jc w:val="both"/>
      </w:pPr>
      <w:r>
        <w:rPr>
          <w:rFonts w:ascii="Times New Roman"/>
          <w:b w:val="false"/>
          <w:i w:val="false"/>
          <w:color w:val="000000"/>
          <w:sz w:val="28"/>
        </w:rPr>
        <w:t>
      "Қатты тұрмыстық қалдықтар және олармен жұмыс iстеу тәсiлдерi туралы деректерді СК жыл сайынғы жалпымемлекеттік статистикалық байқаулар негізінде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"СК қалдықтарды қайта өңдеу және (немесе) кәдеге жарату көлемдері туралы деректерді өнімдерді (тауарларды, көрсетілетін қызметтерді) өндіру және жөнелту туралы жыл сайынғы жалпымемлекеттік статистикалық байқаудың деректері бойынша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"Негізгі капиталға салынған табиғат қорғау инвестициялары туралы ақпараттың дереккөзі инвестициялық қызмет туралы жыл сайынғы жалпымемлекеттік статистикалық байқау болып табылады. Осы байқауда 2000 Қоршаған ортаны қорғау бойынша қызмет түрлері мен шығындардың халықаралық жіктеуішіне (The Classification of Environmental Protection Activities and Expenditure (СЕРА 2000) сәйкес табиғат қорғау қызметі түрлерінің бөлінісінде қоршаған ортаны қорғау бойынша қызметпен байланысты кәсіпорындар мен ұйымдардың негізгі капиталына салынған инвестициялар көрсетіледі.";</w:t>
      </w:r>
    </w:p>
    <w:bookmarkStart w:name="z30" w:id="18"/>
    <w:p>
      <w:pPr>
        <w:spacing w:after="0"/>
        <w:ind w:left="0"/>
        <w:jc w:val="both"/>
      </w:pPr>
      <w:r>
        <w:rPr>
          <w:rFonts w:ascii="Times New Roman"/>
          <w:b w:val="false"/>
          <w:i w:val="false"/>
          <w:color w:val="000000"/>
          <w:sz w:val="28"/>
        </w:rPr>
        <w:t>
      бесінші, алтыншы, жетінші және сегізінші бөліктер мынадай редакцияда жазылсын:</w:t>
      </w:r>
    </w:p>
    <w:bookmarkEnd w:id="18"/>
    <w:p>
      <w:pPr>
        <w:spacing w:after="0"/>
        <w:ind w:left="0"/>
        <w:jc w:val="both"/>
      </w:pPr>
      <w:r>
        <w:rPr>
          <w:rFonts w:ascii="Times New Roman"/>
          <w:b w:val="false"/>
          <w:i w:val="false"/>
          <w:color w:val="000000"/>
          <w:sz w:val="28"/>
        </w:rPr>
        <w:t>
      "Көрсеткішті қалыптастыру кезінде негізгі дереккөздердің бірі қоршаған ортаны қорғауға жұмсалған ағымдағы шығындар, экологиялық төлемдер және табиғи ресурстар үшін төлемақы туралы жыл сайынғы жалпымемлекеттік статистикалық байқау болып табылады.</w:t>
      </w:r>
    </w:p>
    <w:bookmarkStart w:name="z31" w:id="19"/>
    <w:p>
      <w:pPr>
        <w:spacing w:after="0"/>
        <w:ind w:left="0"/>
        <w:jc w:val="both"/>
      </w:pPr>
      <w:r>
        <w:rPr>
          <w:rFonts w:ascii="Times New Roman"/>
          <w:b w:val="false"/>
          <w:i w:val="false"/>
          <w:color w:val="000000"/>
          <w:sz w:val="28"/>
        </w:rPr>
        <w:t>
      Орман ресурстарын қорғауға жұмсалған шығындардың көрсеткішін қалыптастыру үшін орман өсіру және ағаш дайындау қызметі туралы жыл сайынғы жалпымемлекеттік статистикалық байқау деректері пайдаланылады. Бұдан басқа, өрт өшіруге жұмсалған шығындар көрсетілетін орман өрттері туралы ведомстволық статистикалық байқау деректерін қамтиды.</w:t>
      </w:r>
    </w:p>
    <w:bookmarkEnd w:id="19"/>
    <w:bookmarkStart w:name="z32" w:id="20"/>
    <w:p>
      <w:pPr>
        <w:spacing w:after="0"/>
        <w:ind w:left="0"/>
        <w:jc w:val="both"/>
      </w:pPr>
      <w:r>
        <w:rPr>
          <w:rFonts w:ascii="Times New Roman"/>
          <w:b w:val="false"/>
          <w:i w:val="false"/>
          <w:color w:val="000000"/>
          <w:sz w:val="28"/>
        </w:rPr>
        <w:t>
      Жануарлар дүниесін қорғау мен өсімін молайту бойынша шығындар жыл сайынғы әкімшілік деректердің негізінде қалыптастырылады.</w:t>
      </w:r>
    </w:p>
    <w:bookmarkEnd w:id="20"/>
    <w:bookmarkStart w:name="z33" w:id="21"/>
    <w:p>
      <w:pPr>
        <w:spacing w:after="0"/>
        <w:ind w:left="0"/>
        <w:jc w:val="both"/>
      </w:pPr>
      <w:r>
        <w:rPr>
          <w:rFonts w:ascii="Times New Roman"/>
          <w:b w:val="false"/>
          <w:i w:val="false"/>
          <w:color w:val="000000"/>
          <w:sz w:val="28"/>
        </w:rPr>
        <w:t>
      Қоршаған ортаны қорғау саласындағы білім беруге жұмсалған шығыстарды бір оқушыны оқытудың есептік орташа жылдық құны туралы деректерді және жоғары оқу орындары туралы, жоғары оқу орнынан кейінгі білім беру туралы, техникалық және кәсіптік, орта білімнен кейінгі білім беру туралы жыл сайынғы жалпымемлекеттік статистикалық байқаудың деректерін пайдаланумен есептеу арқылы анықтайды.".</w:t>
      </w:r>
    </w:p>
    <w:bookmarkEnd w:id="21"/>
    <w:bookmarkStart w:name="z34" w:id="2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w:t>
      </w:r>
    </w:p>
    <w:bookmarkEnd w:id="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35" w:id="2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Өндіріс және қоршаған орта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23"/>
    <w:bookmarkStart w:name="z36" w:id="2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24"/>
    <w:bookmarkStart w:name="z37" w:id="2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