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975f" w14:textId="5089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"Жоғарғы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3 қарашадағы № 561 бұйрығы. Қазақстан Республикасының Әділет министрлігінде 2017 жылғы 6 желтоқсанда № 16058 болып тіркелді. Күші жойылды - Қазақстан Республикасы Білім және ғылым министрінің 2019 жылғы 17 қазандағы № 452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17.10.2019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11212 болып тіркелген, "Әділет" ақпараттық-құқықтық жүйесінде 2015 жылғы 15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оқу орнының үздік оқытушысы" атағына құжаттарды қабылдау және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6" w:id="3"/>
    <w:p>
      <w:pPr>
        <w:spacing w:after="0"/>
        <w:ind w:left="0"/>
        <w:jc w:val="both"/>
      </w:pPr>
      <w:r>
        <w:rPr>
          <w:rFonts w:ascii="Times New Roman"/>
          <w:b w:val="false"/>
          <w:i w:val="false"/>
          <w:color w:val="000000"/>
          <w:sz w:val="28"/>
        </w:rPr>
        <w:t>
      мынадай мазмұндағы 9-1-тармақпен толықтырылсын:</w:t>
      </w:r>
    </w:p>
    <w:bookmarkEnd w:id="3"/>
    <w:p>
      <w:pPr>
        <w:spacing w:after="0"/>
        <w:ind w:left="0"/>
        <w:jc w:val="both"/>
      </w:pPr>
      <w:r>
        <w:rPr>
          <w:rFonts w:ascii="Times New Roman"/>
          <w:b w:val="false"/>
          <w:i w:val="false"/>
          <w:color w:val="000000"/>
          <w:sz w:val="28"/>
        </w:rPr>
        <w:t>
      "9-1.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жағдайларда, көрсетілетін қызметті беруші өтінішті қабылдаудан бас тартады.</w:t>
      </w:r>
    </w:p>
    <w:bookmarkStart w:name="z7" w:id="4"/>
    <w:p>
      <w:pPr>
        <w:spacing w:after="0"/>
        <w:ind w:left="0"/>
        <w:jc w:val="both"/>
      </w:pPr>
      <w:r>
        <w:rPr>
          <w:rFonts w:ascii="Times New Roman"/>
          <w:b w:val="false"/>
          <w:i w:val="false"/>
          <w:color w:val="000000"/>
          <w:sz w:val="28"/>
        </w:rPr>
        <w:t>
      Көрсетілетін қызметті берушілер мынадай мемлекеттік қызметтерді көрсетуден бас тартады:</w:t>
      </w:r>
    </w:p>
    <w:bookmarkEnd w:id="4"/>
    <w:bookmarkStart w:name="z8" w:id="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 кезінде;</w:t>
      </w:r>
    </w:p>
    <w:bookmarkEnd w:id="5"/>
    <w:bookmarkStart w:name="z9" w:id="6"/>
    <w:p>
      <w:pPr>
        <w:spacing w:after="0"/>
        <w:ind w:left="0"/>
        <w:jc w:val="both"/>
      </w:pPr>
      <w:r>
        <w:rPr>
          <w:rFonts w:ascii="Times New Roman"/>
          <w:b w:val="false"/>
          <w:i w:val="false"/>
          <w:color w:val="000000"/>
          <w:sz w:val="28"/>
        </w:rPr>
        <w:t xml:space="preserve">
      2) көрсетілетін қызметті алушы Қазақстан Республикасы Білім және ғылым министрі міндетін атқарушының 2015 жылғы 16 наурыздағы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оқу орнының үздік оқытушысы" атағын беру қағидаларымен белгіленген талаптарға сәйкес келмеген жағдайда (Нормативтік құқықтық актілерді мемлекеттік тіркеу тізілімінде № 10506 болып тіркелген)."; </w:t>
      </w:r>
    </w:p>
    <w:bookmarkEnd w:id="6"/>
    <w:bookmarkStart w:name="z10" w:id="7"/>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7"/>
    <w:bookmarkStart w:name="z11" w:id="8"/>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 </w:t>
      </w:r>
    </w:p>
    <w:bookmarkEnd w:id="8"/>
    <w:bookmarkStart w:name="z12" w:id="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9"/>
    <w:bookmarkStart w:name="z13" w:id="10"/>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bookmarkEnd w:id="10"/>
    <w:bookmarkStart w:name="z14" w:id="11"/>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оның көшірмесін ресми жариялау үшін мерзімді баспа басылымдарына жолдауды;</w:t>
      </w:r>
    </w:p>
    <w:bookmarkEnd w:id="11"/>
    <w:bookmarkStart w:name="z15" w:id="12"/>
    <w:p>
      <w:pPr>
        <w:spacing w:after="0"/>
        <w:ind w:left="0"/>
        <w:jc w:val="both"/>
      </w:pPr>
      <w:r>
        <w:rPr>
          <w:rFonts w:ascii="Times New Roman"/>
          <w:b w:val="false"/>
          <w:i w:val="false"/>
          <w:color w:val="000000"/>
          <w:sz w:val="28"/>
        </w:rPr>
        <w:t xml:space="preserve">
      4) осы бұйрықты ресми жарияланғаннан кейін Қазақстан Республикасы Білім және ғылым министрлігінің интернет-ресурсында орналастыруды; </w:t>
      </w:r>
    </w:p>
    <w:bookmarkEnd w:id="12"/>
    <w:bookmarkStart w:name="z16" w:id="13"/>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 </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Білім және ғылым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Асылова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 қараша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3 қарашада</w:t>
            </w:r>
            <w:r>
              <w:br/>
            </w:r>
            <w:r>
              <w:rPr>
                <w:rFonts w:ascii="Times New Roman"/>
                <w:b w:val="false"/>
                <w:i w:val="false"/>
                <w:color w:val="000000"/>
                <w:sz w:val="20"/>
              </w:rPr>
              <w:t>№ 561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орнының үздік</w:t>
            </w:r>
            <w:r>
              <w:br/>
            </w:r>
            <w:r>
              <w:rPr>
                <w:rFonts w:ascii="Times New Roman"/>
                <w:b w:val="false"/>
                <w:i w:val="false"/>
                <w:color w:val="000000"/>
                <w:sz w:val="20"/>
              </w:rPr>
              <w:t xml:space="preserve">оқытушысы" атағына </w:t>
            </w:r>
            <w:r>
              <w:br/>
            </w:r>
            <w:r>
              <w:rPr>
                <w:rFonts w:ascii="Times New Roman"/>
                <w:b w:val="false"/>
                <w:i w:val="false"/>
                <w:color w:val="000000"/>
                <w:sz w:val="20"/>
              </w:rPr>
              <w:t xml:space="preserve">құжаттарды қабылдау және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bookmarkStart w:name="z21" w:id="16"/>
    <w:p>
      <w:pPr>
        <w:spacing w:after="0"/>
        <w:ind w:left="0"/>
        <w:jc w:val="left"/>
      </w:pPr>
      <w:r>
        <w:rPr>
          <w:rFonts w:ascii="Times New Roman"/>
          <w:b/>
          <w:i w:val="false"/>
          <w:color w:val="000000"/>
        </w:rPr>
        <w:t xml:space="preserve">  "Жоғары оқу орнының үздік оқытушысы" атағын беруге үміткердің жұмысын бағалаудың сапалық және сандық көрсеткіштері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761"/>
        <w:gridCol w:w="241"/>
        <w:gridCol w:w="8835"/>
        <w:gridCol w:w="1060"/>
        <w:gridCol w:w="1"/>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сипаттамасы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Академиялық, ғылыми дәрежесінің, ғылыми атағының болуы (екі тармақтан артық белгілемеу)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бақылау комитеті (бұдан әрі – Комитет) немесе Қазақстан Республикасының Жоғарғы аттестаттау комитеті (бұдан әрі - ЖАК) немесе бұрынғы Кеңестік Социалистік Республикалар Одағының (бұдан әрі - КСРО) ЖАК тағайындаған ғылым докторы: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немесе Қазақстан Республикасының немесе бұрынғы КСРО ЖАК берген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немесе Қазақстан Республикасының немесе бұрынғы КСРО ЖАК бекіткен ғылым кандидаты: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Білім және ғылым саласындағы бақылау комитеті немесе Қазақстан Республикасының ЖАК тағайындаған PhD докторы: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немесе Қазақстан Республикасының немесе бұрынғы КСРО ЖАК берген қауымдастырылған профессор (доцент):</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жылы "Оқытушы студенттер көзқарасымен" тәуелсіз сауалнама нәтижесімен бірге анықталатын оқыту сапасы (бір тармақты белгілеу)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нәтижесінің орташа балы 10 балды бағалау шәкілі бойынша құрады: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7,1-ден 10,0-ге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5,0-ден 7,0-ге дейін</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бөлімнің білім алушыларының үлгерімі (бір тармақты белгілеу)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оқу жылында барлық пәндер бойынша күндізгі бөлімде білім алушылардың орта балл үлгерімі (GPA) (Grade Point Average – Грэйд Пойнт Эверейдж):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3,67-ден 4 балға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2,67-ден 3,33 балға дейін: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жылдағы ашық видео-дәріс және оқытылатын пәндердің оқу-әдістемелік қамтамасыз етілуі қоса берілген пәндерді ағылшын тілінде оқыту (тілдік пәндерден дәріс жүргізетін оқытушыларды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бес жылдағы пәндерді ағылшын тілінде оқыту </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жылдағы әзірлеу, қатысу және басып шығару (атқарылған жұмыстың көлемі көрсетілген жеке өзі немесе бірлестік авторлық)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Қазақстан Республикасы Білім және ғылым министрлігі ұсынған оқулық: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Қазақстан Республикасы Білім және ғылым министрлігі ұсынған ағылшын тіліндегі оқулық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Қазақстан Республикасы Білім және ғылым министрлігінің Республикалық оқу-әдістемелік кеңесі ұсынған оқу құралы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Қазақстан Республикасы Білім және ғылым министрлігінің Республикалық оқу-әдістемелік кеңесі ұсынған ағылшын тіліндегі оқу құралы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Монография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Ағылшын тіліндегі монография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Үлгілік оқу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ЖОО-ның ғылыми кеңесі ұсынған оқу құралы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Авторлық құқығы уәкілетті органмен расталған электрондық оқулық және/немесе оқу құралы (Зияткерлік меншік құқығы комитеті)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кәсіби қызметі бойынша шет тіліндегі ашық онлайн курстардың платформасы базасында курстан табысты өткені туралы сертификаттың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(Курсэра), EdX (Эдекс), Udacity (Юдасити), FutureLearn (ФьючелҰн) базасының платформаларында</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жылдағы шет тілін меңгергенін растайтын сертификаттың бар болуы (бір тармақты белгілеу)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TOEFL, PBT (Test of English as a foreign language, Paper-based Test – Тест оф Инглиш эс э форин лангуадж, Пэйпер-бэйсд-Тест) (жазбаша)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TOEFL, CBT (Test of English as a foreign language, Сomputer-based Test – Тест оф Инглиш эс э форин лангуадж, Компьютер-бэйсд-Тест)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TOEFL, IBT (Test of English as a foreign language, Internet-based Test – Тест оф Инглиш эс э форин лангуадж, Интернет-бэйсд-Тест)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IELTS (International English Language Testing System – Интернешнл Инглиш Лангуадж Тестинг Систем)</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TFI (Test de Francais International – Тест де Франсэ Интернешнл)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DELF (Diplome d’Etude en Langue Francaise – Диплом Дэтьюд эн ЛҰн Франсэс) (A1, A2, B1, B2)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DALF (Diplome Approfondi de Langue Francaise – Диплом Апрофонди дэ ЛҰн Франсэс) (C1,C2)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TCF (Test de connaissance du francais – Тест дэ конэссанс ду франсэ)</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Dsh (Deutsche Sprachprufung fur den Hochschulzugang – Дойче Шпрахпрефун ден Хохшульцуган)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TestDaF- Prufung (ТестДаФ – Прюфун)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TestDaFиDSDII (ТестДаФиДэЭсДэII)</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 студенттің ғылыми-зерттеу және шығармашылық жұмыстарына басшылық ету (қажетті тармақтарды белгілеу)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Үміткердің басшылығымен дайындалған дайындық бейіні бойынша пәндік олимпиадалардың, сондай-ақ республикалық және халықаралық орындаушылық конкурстардың ("Өнер" мамандықтарының топтары үшін) және спорттық жарыстардың (Дене шынықтыру және спорт мамандығы үшін) жеңімпаз студенттердің саны (дипломдардың, грамоталардың көшірмелерін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халықаралық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республикалық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ЖОО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Үміткердің басшылығымен дайындалған ғылыми-зерттеу және дайындық бейіні бойынша студенттердің шығармашылық жұмыстарының жеңімпаз студенттерінің саны (дипломдардың, грамоталардың көшірмелерін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халықаралық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республикалық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ЖОО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Үміткердің басшылығымен дайындық бейіні бойынша мақалалар немесе баяндама тезистерін жариялаған студенттердің саны (конференция бағдарламаларының және мақалалардың көшірмелері немесе тезистері көшірмелелерін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халықаралық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республикалық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облыстық және қалалық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ЖОО деңгейінде</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 ғылыми және ғылыми-педагогикалық кадрларды даярлау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PhD докторлары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магистрлер</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жылдағы ғылыми зерттеулерді орындау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Халықаралық жобалар: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жоба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жоба орындаушысы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Республикалық жобалар (іргелі және қолданбалы ғылыми зерттеулер, гранттық, бағдарламалық-нысаналы қаржыландыру):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жоба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жоба орындаушысы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Шарттық жұмыстар көлемі кемінде 50 айлық есептік көрсеткіш:</w:t>
            </w:r>
            <w:r>
              <w:br/>
            </w:r>
            <w:r>
              <w:rPr>
                <w:rFonts w:ascii="Times New Roman"/>
                <w:b w:val="false"/>
                <w:i w:val="false"/>
                <w:color w:val="000000"/>
                <w:sz w:val="20"/>
              </w:rPr>
              <w:t>(жобалардың орындалуы туралы шарттарды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жоба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жоба орындаушысы</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бес жылдағы ғылыми жетістіктері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Жарияланымдар:</w:t>
            </w:r>
            <w:r>
              <w:br/>
            </w:r>
            <w:r>
              <w:rPr>
                <w:rFonts w:ascii="Times New Roman"/>
                <w:b w:val="false"/>
                <w:i w:val="false"/>
                <w:color w:val="000000"/>
                <w:sz w:val="20"/>
              </w:rPr>
              <w:t>11.1.1 Томсон Рейтер (Web of Science (Вэб оф Сайнс),Thomson Reuters (Томсон Рэйтер)) ақпараттық компаниясының деректер базасында нөлдік емес импакт-факторы бар басылымдарда: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Scopus (Скопус), Pubmed (Пабмед), zbMath (зэтбиМас), MathScinet (МасСайнет), Agris (Агрис), Georef (Геореф), Astrophysical journal (Астрофизикал Джорнал) деректер базасында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Web of Science (Вэб оф Сайнс), Scopus (Скопус) базаларында индекстелетін конференция материалдарында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Комитет тізбесіне енгізілген басылымдарда (конференция материалдарынан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Қазақстан Республикасының басқа ғылыми басылымдарында (конференция материалдарынан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басқа елдердің ғылыми басылымдарында: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Thomson Reuters (Томсон Рэйтер) базасы бойынша Хирша индексінің бар болуы:</w:t>
            </w:r>
            <w:r>
              <w:br/>
            </w:r>
            <w:r>
              <w:rPr>
                <w:rFonts w:ascii="Times New Roman"/>
                <w:b w:val="false"/>
                <w:i w:val="false"/>
                <w:color w:val="000000"/>
                <w:sz w:val="20"/>
              </w:rPr>
              <w:t xml:space="preserve">ИндХ 4-тен жоғары </w:t>
            </w:r>
            <w:r>
              <w:br/>
            </w:r>
            <w:r>
              <w:rPr>
                <w:rFonts w:ascii="Times New Roman"/>
                <w:b w:val="false"/>
                <w:i w:val="false"/>
                <w:color w:val="000000"/>
                <w:sz w:val="20"/>
              </w:rPr>
              <w:t>ИндХ 3-тен 4-ке дейін</w:t>
            </w:r>
            <w:r>
              <w:br/>
            </w:r>
            <w:r>
              <w:rPr>
                <w:rFonts w:ascii="Times New Roman"/>
                <w:b w:val="false"/>
                <w:i w:val="false"/>
                <w:color w:val="000000"/>
                <w:sz w:val="20"/>
              </w:rPr>
              <w:t>ИндХ – 2</w:t>
            </w:r>
            <w:r>
              <w:br/>
            </w:r>
            <w:r>
              <w:rPr>
                <w:rFonts w:ascii="Times New Roman"/>
                <w:b w:val="false"/>
                <w:i w:val="false"/>
                <w:color w:val="000000"/>
                <w:sz w:val="20"/>
              </w:rPr>
              <w:t>ИндХ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Кәсіби және педагогикалық біліктілігін арттыру, ғылыми нәтижелерді апробациялау: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алыс және жақын шет елдердің конферецияларында: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шет елдерде гранттық ғылыми тағылымдамаларда 1 ай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Қазақстан Республикасының аумағындағы конференцияларға, симпозиумдарға, семинарларға: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Патенттердің және алдын ала патенттердің, авторлық өнертабыстардың, зияткерлік меншік объектілерінің бар болуы:</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ұйымдастырушылық және ұйымдастырушылық-әдістемелік жұмыстар ((12.2 бөлімінде бір тармақты белгілеу)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Диссертациялық кеңестердің, кеңестердің, комиссиялардың, комитеттердің, жұмыс топтарының жұмысына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республикалық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12.1.аймақтық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Эдвайзер ретіндегі жұмыс, бекітілген студенттердің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50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50-ге дейін:</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бес жылдағы тәрбие жұмысы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алушыларды адамгершілік-отансүйгіштік және дене тәрбиесі тұрғысынан қамтамасыз ететін кешенді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республикалық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өңірлік деңгейде: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2017 жылғы 3 қарашада </w:t>
            </w:r>
            <w:r>
              <w:br/>
            </w:r>
            <w:r>
              <w:rPr>
                <w:rFonts w:ascii="Times New Roman"/>
                <w:b w:val="false"/>
                <w:i w:val="false"/>
                <w:color w:val="000000"/>
                <w:sz w:val="20"/>
              </w:rPr>
              <w:t>№ 561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орнының үздік</w:t>
            </w:r>
            <w:r>
              <w:br/>
            </w:r>
            <w:r>
              <w:rPr>
                <w:rFonts w:ascii="Times New Roman"/>
                <w:b w:val="false"/>
                <w:i w:val="false"/>
                <w:color w:val="000000"/>
                <w:sz w:val="20"/>
              </w:rPr>
              <w:t xml:space="preserve"> оқытушысы" атағына </w:t>
            </w:r>
            <w:r>
              <w:br/>
            </w:r>
            <w:r>
              <w:rPr>
                <w:rFonts w:ascii="Times New Roman"/>
                <w:b w:val="false"/>
                <w:i w:val="false"/>
                <w:color w:val="000000"/>
                <w:sz w:val="20"/>
              </w:rPr>
              <w:t xml:space="preserve">құжаттарды қабылдау және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7"/>
    <w:p>
      <w:pPr>
        <w:spacing w:after="0"/>
        <w:ind w:left="0"/>
        <w:jc w:val="left"/>
      </w:pPr>
      <w:r>
        <w:rPr>
          <w:rFonts w:ascii="Times New Roman"/>
          <w:b/>
          <w:i w:val="false"/>
          <w:color w:val="000000"/>
        </w:rPr>
        <w:t xml:space="preserve"> Жұмыстардың жылдық жоспар-кестесі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743"/>
        <w:gridCol w:w="174"/>
        <w:gridCol w:w="594"/>
        <w:gridCol w:w="107"/>
        <w:gridCol w:w="170"/>
        <w:gridCol w:w="4"/>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атауы</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жұмыс түрін іске асыруға негіздеме (болжамды атауы көрсетілген)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ұсынған оқулықты әзірлеу, қатысу және басып шығару/ағылшын тілінде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Республикалық оқу-әдістемелік кеңесі ұсынған оқу құралын әзірлеу, қатысу және басып шығару/ ағылшын тілінде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Монографияны әзірлеу, қатысу және басып шығару/ ағылшын тілінде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орындау, оның ішінде халықаралық, республикалық жобалар, шарттық жұмыстар</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Сайнс),Thomson Reuters (Томсон Рейтер)) ақпараттық компаниясының деректер базасында нөлдік емес импакт-факторы бар басылымдарда / Scopus (Скопус), Pubmed (Пабмед), zbMath (зэтбиМас), MathScinet (МасСайнет), Agris (Агрис), Georef (Геореф), Astrophysical journal (Астрофизикал Джорнал) деректер базасында мақалалар жазу және жариялау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бақылау комитеті тізбесіне енгізілген басылымдарда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конференцияларға қатысу және материал жариялау</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конференцияларға, симпозиумдарға, семинарларға қатысу және материал жариялау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және алдын ала патенттерді, авторлық өнертабыстарды, зияткерлік меншік объектілерін алу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кәсіби және педагогикалық біліктілігін арттыру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жылы QS World University Rankings (КьюЭс Ворлд Юниверсити Рэнкингс) нәтижелері бойынша ТОР-500-ге енетін шетелдің жетекші жоғары оқу орындарында тағылымдамадан өту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жетекші ғылыми орталықтары мен зертханаларында тағылымдамадан өту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адамгершілік-отансүйгіштік және дене тәрбиесі тұрғысынан қамтамасыз ететін кешенді іс-шараларды іске асыру</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қатысушы 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Толтыру күні "____"______________201_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