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cf1d" w14:textId="027c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22 желтоқсандағы № 346 бұйрығы. Қазақстан Республикасының Әділет министрлігінде 2018 жылғы 12 қаңтарда № 16214 болып тіркелді. Күші жойылды - Қазақстан Республикасы Мәдениет және спорт министрінің 2020 жылғы 15 сәуірдегі № 92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15.04.2020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19-бабының </w:t>
      </w:r>
      <w:r>
        <w:rPr>
          <w:rFonts w:ascii="Times New Roman"/>
          <w:b w:val="false"/>
          <w:i w:val="false"/>
          <w:color w:val="000000"/>
          <w:sz w:val="28"/>
        </w:rPr>
        <w:t>14-3)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10992 болып тіркелген, "Әділет" ақпараттық-құқықтық жүйесінде 2015 жылғы 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ескерткіштерін анықтау, есепке алу, мәртебе беру және мәртебесінен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тарих және мәдениет ескерткіштері – Тарих және мәдениет ескерткіштерінің мемлекеттік тізіміне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p>
    <w:bookmarkEnd w:id="4"/>
    <w:bookmarkStart w:name="z6"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"10. Уәкілетті орган қарау барысында Қазақстан Республикасының Мәдениет және ақпарат министрінің 2007 жылғы 20 тамыздағы № 219 бұйрығымен (Нормативтік құқықтық актілерді мемлекеттік тіркеу тізілімінде № 4933 болып тіркелген, Қазақстан Республикасының Орталық атқарушы және өзге де орталық мемлекеттік органдарының актілер жинағында жарияланған, 2007 жыл) бекітілген Тарихи-мәдени сараптама жүргізудің </w:t>
      </w:r>
      <w:r>
        <w:rPr>
          <w:rFonts w:ascii="Times New Roman"/>
          <w:b w:val="false"/>
          <w:i w:val="false"/>
          <w:color w:val="000000"/>
          <w:sz w:val="28"/>
        </w:rPr>
        <w:t>ережесіне</w:t>
      </w:r>
      <w:r>
        <w:rPr>
          <w:rFonts w:ascii="Times New Roman"/>
          <w:b w:val="false"/>
          <w:i w:val="false"/>
          <w:color w:val="000000"/>
          <w:sz w:val="28"/>
        </w:rPr>
        <w:t xml:space="preserve"> сәйкес (бұдан әрі – Сараптама жүргізу ережесі) тарихи-мәдени сараптаманың жүргізілуін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бөлігіне орыс тілінде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"16. Алдын ала есепке алу тізіміне енгізілген, жергілікті маңызы бар тарихи-мәдени мұра объектілеріне ескерткіш мәртебесін беру үшін жергілікті атқарушы орган Сараптама жүргізу ережесіне сәйкес тарихи-мәдени сараптама жүргізеді.";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"18. Археологиялық ескерткіштер анықталған кезден бастап тарих және мәдениет ескерткіші мәртебесіне ие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"21. Республикалық маңызы бар ескерткіш мәртебесін айыру үшін жергілікті атқарушы орган уәкілетті органға республикалық маңызы бар ескерткіш мәртебесін айыру туралы ұсыныс хатты төмендегі құжаттармен қоса жолдайды:</w:t>
      </w:r>
    </w:p>
    <w:bookmarkEnd w:id="9"/>
    <w:bookmarkStart w:name="z16" w:id="10"/>
    <w:p>
      <w:pPr>
        <w:spacing w:after="0"/>
        <w:ind w:left="0"/>
        <w:jc w:val="both"/>
      </w:pPr>
      <w:r>
        <w:rPr>
          <w:rFonts w:ascii="Times New Roman"/>
          <w:b w:val="false"/>
          <w:i w:val="false"/>
          <w:color w:val="000000"/>
          <w:sz w:val="28"/>
        </w:rPr>
        <w:t>
      1) тарих және мәдениет ескерткішінің төлқұжаты, есеп карточкасы;</w:t>
      </w:r>
    </w:p>
    <w:bookmarkEnd w:id="10"/>
    <w:bookmarkStart w:name="z17" w:id="11"/>
    <w:p>
      <w:pPr>
        <w:spacing w:after="0"/>
        <w:ind w:left="0"/>
        <w:jc w:val="both"/>
      </w:pPr>
      <w:r>
        <w:rPr>
          <w:rFonts w:ascii="Times New Roman"/>
          <w:b w:val="false"/>
          <w:i w:val="false"/>
          <w:color w:val="000000"/>
          <w:sz w:val="28"/>
        </w:rPr>
        <w:t>
      2) тарих және мәдениет ескерткішінің қорғау міндеттемесі.";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"25. Жергілікті маңызы бар ескерткіш мәртебесінен айыру үшін жергілікті атқарушы орган Сараптама жүргізу ережесіне сәйкес тарихи-мәдени сараптама жүргізеді.".</w:t>
      </w:r>
    </w:p>
    <w:bookmarkEnd w:id="12"/>
    <w:bookmarkStart w:name="z20" w:id="13"/>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белгіленген тәртіппен: </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5"/>
    <w:bookmarkStart w:name="z23" w:id="16"/>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16"/>
    <w:bookmarkStart w:name="z24" w:id="1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7"/>
    <w:bookmarkStart w:name="z25"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8"/>
    <w:bookmarkStart w:name="z26"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