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a726" w14:textId="80da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21 шілдедегі № А-7/311 қаулысы. Ақмола облысының Әділет департаментінде 2017 жылғы 29 тамызда № 6061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Е.Я.Каппельге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21 шілдедегі</w:t>
            </w:r>
            <w:r>
              <w:br/>
            </w:r>
            <w:r>
              <w:rPr>
                <w:rFonts w:ascii="Times New Roman"/>
                <w:b w:val="false"/>
                <w:i w:val="false"/>
                <w:color w:val="000000"/>
                <w:sz w:val="20"/>
              </w:rPr>
              <w:t>№ А-7/311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29.08.2019 </w:t>
      </w:r>
      <w:r>
        <w:rPr>
          <w:rFonts w:ascii="Times New Roman"/>
          <w:b w:val="false"/>
          <w:i w:val="false"/>
          <w:color w:val="ff0000"/>
          <w:sz w:val="28"/>
        </w:rPr>
        <w:t>№ A-9/407</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30" w:id="6"/>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Қазақстан Республикасы Ауыл шаруашылығы министрінің 2017 жылғы 10 наурыздағы № 115 бұйрығымен (Нормативтік құқықтық актілерді мемлекеттік тіркеу тізілімінде № 15136 болып тіркелген)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қолтанбасын (бұдан – әрі ЭЦҚ) пайдалана отырып, оның қабылданғанын қол қою жолымен растайды – 1 жұмыс күні;</w:t>
      </w:r>
    </w:p>
    <w:bookmarkEnd w:id="12"/>
    <w:bookmarkStart w:name="z15" w:id="13"/>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алушыға жолдайды – 15 минут.</w:t>
      </w:r>
    </w:p>
    <w:bookmarkEnd w:id="14"/>
    <w:bookmarkStart w:name="z17" w:id="15"/>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5"/>
    <w:p>
      <w:pPr>
        <w:spacing w:after="0"/>
        <w:ind w:left="0"/>
        <w:jc w:val="both"/>
      </w:pPr>
      <w:r>
        <w:rPr>
          <w:rFonts w:ascii="Times New Roman"/>
          <w:b w:val="false"/>
          <w:i w:val="false"/>
          <w:color w:val="000000"/>
          <w:sz w:val="28"/>
        </w:rPr>
        <w:t>
      1) өтінімді тіркеу және қабылданғаның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20" w:id="1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8"/>
    <w:bookmarkStart w:name="z21" w:id="19"/>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bookmarkEnd w:id="19"/>
    <w:bookmarkStart w:name="z22" w:id="20"/>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20"/>
    <w:bookmarkStart w:name="z23" w:id="21"/>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алушыға жолдайды – 15 минут.</w:t>
      </w:r>
    </w:p>
    <w:bookmarkEnd w:id="21"/>
    <w:bookmarkStart w:name="z24" w:id="2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2"/>
    <w:bookmarkStart w:name="z25" w:id="23"/>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23"/>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7" w:id="24"/>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4"/>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9" w:id="25"/>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4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