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b49b" w14:textId="fa7b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Аршалы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2017 жылғы 10 ақпандағы № 12/3 шешімі. Ақмола облысының Әділет департаментінде 2017 жылғы 13 наурызда № 5824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жылға арналған Аршалы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Т.Тналина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2017 жылғы 10 ақпан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