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c20f" w14:textId="598c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ауданы Маржанбұлақ ауылдық округінде ауыл құру және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маусымдағы № 223 қаулысы және Ақтөбе облыстық мәслихатының 2017 жылғы 30 маусымдағы № 183 шешімі. Ақтөбе облысының Әділет департаментінде 2017 жылғы 28 шілдеде № 5620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және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24 ақпандағы № 138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Алға ауданының өкiлдi және атқарушы органдарының ұсыныстарын ескере отыра, облыстық онамастика комиссиясының 2017 жылғы 22 маусымдағы қорытындысының негізінде, Ақтөбе облысының әкiмдігі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әкімдік қаулысы мен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Алға ауданы Маржанбұлақ ауылдық округінде ауыл құрылсын және жаңадан құрылған ауылға Бастау атауы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 ауданының әкімі жаңадан құрылған ауылдың шекарасын белгілесін, сондай-ақ "Ақтөбе облысының экономика және бюджеттік жоспарлау басқармасы" және "Ақтөбе облысының қаржы басқармасы" мемлекеттік мекемелерімен бірлесіп, жаңадан құрылған әкімшілік-аумақтық бірлікті ұстауды жоспарлау және қаржыландыру мәселелерін шешсін.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статистика департаменті" мемлекеттік мекемесі (келісім бойынша) облыстың әкімшілік-аумақтық бірліктерінің есептік деректеріне тиісті өзгерістер енгізсін.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"Ақтөбе облысының жер қатынастары басқармасы" мемлекеттік мекемесі жер-кадастр құжаттамаларын Алға ауданының әкімшілік-аумақтың құрылысында жасалған өзгерістермен сәйкестікке келтірсін.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бірлескен әкімдіктің қаулысы мен мәслихат шешімінің орындалуын бақылау облыс әкімі аппаратының басшысына жүктелсін.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әкімдіктің қаулысы мен мәслихаттың шешімі олар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47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47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