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81c1" w14:textId="e038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13 қазандағы № 122 шешімі. Ақтөбе облысының Әділет департаментінде 2017 жылғы 27 қазанда № 5684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мәслихаттың 2016 жылғы 23 желтоқсандағы № 60 "2017-2019 жылдарға арналған Алға ауданының бюджетін бекіту туралы" (Нормативтік құқықтық актілерді мемлекеттік тіркеу тізілімінде № 5229 тіркелген, Қазақстан Республикасының нормативтік құқықтық актілерінің эталондық бақылау банкінде 2017 жылғы 2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"17 400" сандары "33,4"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Джармухамбетова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13 қазандағы № 122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7069681,9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3093602,8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2670744,9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2582456,9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2451780,9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239653,2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239653,2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2020772,2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524429,6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13 қазандағы № 122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187 951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193 821,7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16 082,6</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548"/>
        <w:gridCol w:w="3489"/>
        <w:gridCol w:w="3151"/>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123040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