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a8df" w14:textId="663a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2010 жылғы 5 ақпандағы № 129 "Тіркелген салық ставкаларын белгілеу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2017 жылғы 15 наурыздағы № 64 шешімі. Ақтөбе облысының Әділет департаментінде 2017 жылғы 10 сәуірде № 5418 болып тіркелді. Күші жойылды - Ақтөбе облысы Байғанин аудандық мәслихатының 2018 жылғы 12 наурыздағы № 143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12.03.2018 № 143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2014 жылғы 28 қарашадағы "Қазақстан Республикасының кейбір заңнамалық актілеріне салық салу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қазақ тіліндегі 2010 жылғы 5 ақпандағы № 129 "Тіркелген салық ставкаларын белгілеу туралы" (нормативтік құқықтық актілерді мемлекеттік тіркеу Тізілімінде № 3-4-94 тіркелген, 2010 жылғы 12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атауындағы, мәтініндегі және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"ставкаларын", "ставкалар", "ставкалары", "ставкаларының", "1 Қосымша", "үтелі" сөздері "мөлшерлемелерін", "мөлшерлемелер", "мөлшерлемелері", "мөлшерлемелерінің", "қосымша", "үстелі" сөздерімен ауыстырылсын;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Байғанин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С. Жұбан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