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1164" w14:textId="8a01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2017 жылғы 5 шілдедегі № 160 қаулысы. Ақтөбе облысының Әділет департаментінде 2017 жылғы 17 шілдеде № 5601 болып тіркелді. Күші жойылды - Ақтөбе облысы Қобда ауданы әкімдігінің 2021 жылғы 1 ақпандағы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әкімдігінің 01.02.2021 № 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туралы",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елуден жүз адамға дейін - жұмыскерлердің тізімдік санының екі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жүз бірден екі жүз елу адамға дейін - жұмыскерлердің тізімдік санының үш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- жұмыскерлердің тізімдік санының төрт пайызы мөлшерінде белгіленсін.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Б.Құловқа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