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cb62" w14:textId="612c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Мұғалжар ауданы бойынша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2017 жылғы 15 наурыздағы № 99 қаулысы. Ақтөбе облысының Әділет департаментінде 2017 жылғы 13 сәуірде № 5440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2017 жылға Мұғалжар ауданы бойынша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 жұмыс орындарына квота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Қ.Назаровқа жүктелсін.</w:t>
      </w:r>
    </w:p>
    <w:bookmarkEnd w:id="2"/>
    <w:bookmarkStart w:name="z3" w:id="3"/>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