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df5c" w14:textId="d99d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бойынша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ауданының әкімдігінің 2017 жылғы 31 шілдедегі № 173 қаулысы. Ақтөбе облысының Әділет департаментінде 2017 жылғы 16 тамызда № 5629 болып тіркелді. Күші жойылды - Ақтөбе облысы Темір ауданы әкімдігінің 2023 жылғы 17 қарашадағы № 244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әкімдігінің 17.11.2023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№ 148 "Қазақстан Республикасындағы жергілікті мемлекеттік басқару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№ 482-V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туралы", нормативтік құқықтық актілерді мемлекеттік тіркеу Тізілімде № 14010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мүгедектері үшін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дейін-жұмыскерлердің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дейін- жұмыскерлердің тізімдік санының үш пайызы мөлшерінде: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адам- жұмыскерлердің тізімдік санының төрт пайызы мөлшерінде белгіленсін.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Б.Шаимовқа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