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4cf1" w14:textId="e3f4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Бетқайнар ауылдық округі әкімінің 2017 жылғы 29 мамырдағы № 24 шешімі. Жамбыл облысы Әділет департаментінде 2017 жылғы 28 маусымда № 347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Жамбыл облысы әкімдігі жанындағы ономастика комиссиясының 2017 жылдың 29 наурызындағы қорытындысына сәйкес және тиісті аумақ халқының пiкiрiн ескере отырып, Бетқайнар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тқайнар ауылдық округі Бетқайнар ауылының оңтүстік жағынан Мұратбаев кешесіне және солтүстік жағынан Қордай-Шу автотрассасына қатарлас орналасқан көшеге Жетісу атауы б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ды өзіме қалдырам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тқайна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