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0ba" w14:textId="2b3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Рысқұлов ауылдық округіндегі Интернациональный ауылындағы Стахановская, Садовая, Зеленая, Школьная, Н.Щорс, Папанин көшелерінің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Рысқұлов ауылдық округі әкімінің 2017 жылғы 20 желтоқсандағы № 2-09/36 шешімі. Жамбыл облысы Әділет департаментінде 2018 жылғы 5 қаңтарда № 3670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2017 жылғы 24 қарашадағы қорытындысы негізінде және Рысқұлов ауылдық округі, Интернациональный ауылы тұрғындарының пікірін ескере отырып, ауылдық округ әкімі ШЕШІМ ҚАБЫЛДАДЫ: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Рысқұлов ауылдық округі, Интернациональный ауылындағы Стахановская көшесі Талаптыға, Садовая көшесі Көкшетауға, Зеленая көшесі Теректіге, Школьная көшесі Көкжиекке, Н. Щорс көшесі Ақбастауға, Папанин көшесі Арнаға өзгертілсін.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Рысқұлов ауылдық округі әкімі аппаратының бас маманы Ж. Бабалиеваға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Рысқұлов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