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6f7c8" w14:textId="e46f7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сатып алуды ұйымдастыруды және өткізуді бірыңғай ұйымдастырушы жүзеге асыратын жұмыстардың, көрсетілетін қызметтердің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қаласының әкімдігінің 2017 жылғы 13 қаңтардағы № 1 қаулысы. Қарағанды облысының Әділет департаментінде 2017 жылғы 6 ақпанда № 4137 болып тіркелді. Күші жойылды - Қарағанды облысы Қаражал қаласының әкімдігінің 2019 жылғы 15 мамырдағы № 53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Қаражал қаласының әкімдігінің 15.05.2019 № 53 (алғаш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Қазақстан Республикасының 2015 жылғы 04 желтоқсандағы "</w:t>
      </w:r>
      <w:r>
        <w:rPr>
          <w:rFonts w:ascii="Times New Roman"/>
          <w:b w:val="false"/>
          <w:i w:val="false"/>
          <w:color w:val="000000"/>
          <w:sz w:val="28"/>
        </w:rPr>
        <w:t>Мемлекеттік сатып алу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 бюджет қаражаттарын оңтайлы және тиімді жұмсау, сонымен қатар мемлекеттік сатып алу рәсімдерінің айқындылығын арттыру мақсатында Қаражал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мемлекеттік сатып алуды ұйымдастыруды және өткізуді бірыңғай ұйымдастырушы жүзеге асыратын жұмыстардың, көрсетілетін қызметтердің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"Қаражал қаласының тұрғын үй – коммуналдық шаруашылығы, жолаушылар көлігі, автомобиль жолдары, құрылыс және тұрғын үй инспекциясы бөлім" мемлекеттік мекемесі қолданыстағы заңнамаға сәйкес осы қаулыдан туындайтын қажетті шараларды қабылдасын.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орынбасары М. Мұқашеваға жүктелсін.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Қаражал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Шорманбаев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 қаулысына қосымша 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сатып алуды ұйымдастыруды және өткізуді бірыңғай ұйымдастырушы жүзеге асыратын жұмыстардың, көрсетілетін қызметтердің 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8"/>
        <w:gridCol w:w="9432"/>
      </w:tblGrid>
      <w:tr>
        <w:trPr>
          <w:trHeight w:val="30" w:hRule="atLeast"/>
        </w:trPr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№-і</w:t>
            </w:r>
          </w:p>
          <w:bookmarkEnd w:id="6"/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"/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Жұмыстар:</w:t>
            </w:r>
          </w:p>
        </w:tc>
      </w:tr>
      <w:tr>
        <w:trPr>
          <w:trHeight w:val="30" w:hRule="atLeast"/>
        </w:trPr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  <w:bookmarkEnd w:id="8"/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даму бағдарламалары шеңберінде жаңа объектілер салу немесе салынғанын реконструкциялау</w:t>
            </w:r>
          </w:p>
        </w:tc>
      </w:tr>
      <w:tr>
        <w:trPr>
          <w:trHeight w:val="30" w:hRule="atLeast"/>
        </w:trPr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  <w:bookmarkEnd w:id="9"/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маңызы бар автомобиль жолдарын және елді- мекендердің көшелерін күрделі және орташа жөндеу</w:t>
            </w:r>
          </w:p>
        </w:tc>
      </w:tr>
      <w:tr>
        <w:trPr>
          <w:trHeight w:val="30" w:hRule="atLeast"/>
        </w:trPr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  <w:bookmarkEnd w:id="10"/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даму бағдарламалары шеңберінде объектілер салуға және реконструкциялауға жобалық - сметалық құжаттама жасау не бар жобалық - сметалық құжаттаманы түзету</w:t>
            </w:r>
          </w:p>
        </w:tc>
      </w:tr>
      <w:tr>
        <w:trPr>
          <w:trHeight w:val="30" w:hRule="atLeast"/>
        </w:trPr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</w:t>
            </w:r>
          </w:p>
          <w:bookmarkEnd w:id="11"/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маңызы бар автомобиль жолдарын күрделі жөндеуге жобалық - сметалық құжаттама жасау не бар жобалық – сметалық құжаттаманы түзету</w:t>
            </w:r>
          </w:p>
        </w:tc>
      </w:tr>
      <w:tr>
        <w:trPr>
          <w:trHeight w:val="30" w:hRule="atLeast"/>
        </w:trPr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2"/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Қызметтер:</w:t>
            </w:r>
          </w:p>
        </w:tc>
      </w:tr>
      <w:tr>
        <w:trPr>
          <w:trHeight w:val="30" w:hRule="atLeast"/>
        </w:trPr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  <w:bookmarkEnd w:id="13"/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даму бағдарламалары шеңберінде объектілер салу және реконструкциялау кезінде тапсырыс беруші атынан техникалық қадағалау жүргізу бойынша инжинирингтік қызметтер көрсету</w:t>
            </w:r>
          </w:p>
        </w:tc>
      </w:tr>
      <w:tr>
        <w:trPr>
          <w:trHeight w:val="30" w:hRule="atLeast"/>
        </w:trPr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  <w:bookmarkEnd w:id="14"/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маңызы бар автомобиль жолдарын және елді - мекендердің көшелерін күрделі жөндеу кезінде тапсырыс беруші атынан техникалық қадағалау жүргізу бойынша инжинирингтік қызметтер көрсету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