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9c1d" w14:textId="70a9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"Объектілік масштабтағы техногендік сипаттағы төтенше жағдайды жариялау туралы" Саран қаласы әкімінің 2017 жылғы 3 ақпандағы № 01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әкімінің 2017 жылғы 7 қарашадағы № 03 шешімі. Қарағанды облысының Әділет департаментінде 2017 жылғы 20 қарашада № 4447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Негізгі конструкциялардың жұмысқа жарамдылық мәртебесіне қатысты ғылыми-зерттеу, сараптау және жобалау-іздестіру Қазақстандық қайта жаңарту және даму көп салалы институтымен берілген 2017 жылғы 31 наурыздағы техникалық қорытындының негізінде және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Азаматтық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2014 жылғы 11 сәуірдегі,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сәйкес, Саран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"Объектілік масштабтағы техногендік сипаттағы төтенше жағдайды жариялау туралы" Саран қаласы әкімінің 2017 жылғы 3 ақпандағы № 01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4147 тіркелген, "Саран газеті" қалалық газетінде 2017 жылғы 24 ақпандағы № 8 (889), 2017 жылғы 21 ақпанда Қазақстан Республикасы нормативтік құқықтық актілерінің эталондық бақылау банкінде электронды түрде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