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63a8" w14:textId="72e6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24 қазандағы № 140 шешімі. Қызылорда облысының Әділет департаментінде 2017 жылғы 26 қазанда № 6003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жарияланған, 2016 жылғы 26 желтоқсанда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2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176 630 158,4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9 217 033,0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4 034 818,4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7 711,8 мың теңге;</w:t>
      </w:r>
    </w:p>
    <w:bookmarkEnd w:id="6"/>
    <w:bookmarkStart w:name="z12" w:id="7"/>
    <w:p>
      <w:pPr>
        <w:spacing w:after="0"/>
        <w:ind w:left="0"/>
        <w:jc w:val="both"/>
      </w:pPr>
      <w:r>
        <w:rPr>
          <w:rFonts w:ascii="Times New Roman"/>
          <w:b w:val="false"/>
          <w:i w:val="false"/>
          <w:color w:val="000000"/>
          <w:sz w:val="28"/>
        </w:rPr>
        <w:t>
      трансферттер түсімі – 163 370 595,2 мың теңге;</w:t>
      </w:r>
    </w:p>
    <w:bookmarkEnd w:id="7"/>
    <w:bookmarkStart w:name="z13" w:id="8"/>
    <w:p>
      <w:pPr>
        <w:spacing w:after="0"/>
        <w:ind w:left="0"/>
        <w:jc w:val="both"/>
      </w:pPr>
      <w:r>
        <w:rPr>
          <w:rFonts w:ascii="Times New Roman"/>
          <w:b w:val="false"/>
          <w:i w:val="false"/>
          <w:color w:val="000000"/>
          <w:sz w:val="28"/>
        </w:rPr>
        <w:t>
      2) шығындар – 175 087 551,3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7 300 025,0 мың теңге;</w:t>
      </w:r>
    </w:p>
    <w:bookmarkEnd w:id="9"/>
    <w:bookmarkStart w:name="z15" w:id="10"/>
    <w:p>
      <w:pPr>
        <w:spacing w:after="0"/>
        <w:ind w:left="0"/>
        <w:jc w:val="both"/>
      </w:pPr>
      <w:r>
        <w:rPr>
          <w:rFonts w:ascii="Times New Roman"/>
          <w:b w:val="false"/>
          <w:i w:val="false"/>
          <w:color w:val="000000"/>
          <w:sz w:val="28"/>
        </w:rPr>
        <w:t>
      бюджеттік кредиттер – 11 258 356,5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3 958 331,5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979 917,0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979 917,0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-6 737 334,9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6 737 334,9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15) тармақшамен толықтырылсын:</w:t>
      </w:r>
    </w:p>
    <w:bookmarkStart w:name="z23" w:id="17"/>
    <w:p>
      <w:pPr>
        <w:spacing w:after="0"/>
        <w:ind w:left="0"/>
        <w:jc w:val="both"/>
      </w:pPr>
      <w:r>
        <w:rPr>
          <w:rFonts w:ascii="Times New Roman"/>
          <w:b w:val="false"/>
          <w:i w:val="false"/>
          <w:color w:val="000000"/>
          <w:sz w:val="28"/>
        </w:rPr>
        <w:t>
      "15) Арал, Қазалы және Сырдария аудандары бюджеттерінің жылдық кіріс түсімдері болжамының орындалмауына байланысты жоғалтуларын өтеу.";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14) тармақшамен толықтырылсын:</w:t>
      </w:r>
    </w:p>
    <w:bookmarkStart w:name="z25" w:id="18"/>
    <w:p>
      <w:pPr>
        <w:spacing w:after="0"/>
        <w:ind w:left="0"/>
        <w:jc w:val="both"/>
      </w:pPr>
      <w:r>
        <w:rPr>
          <w:rFonts w:ascii="Times New Roman"/>
          <w:b w:val="false"/>
          <w:i w:val="false"/>
          <w:color w:val="000000"/>
          <w:sz w:val="28"/>
        </w:rPr>
        <w:t>
      "14) заңды тұлғалардың жарғылық капиталын ұлғайтуға.";</w:t>
      </w:r>
    </w:p>
    <w:bookmarkEnd w:id="18"/>
    <w:bookmarkStart w:name="z26"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9"/>
    <w:bookmarkStart w:name="z27" w:id="20"/>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15-сессиясының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"24" қазандағы 15-сессиясының № 140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2016 жылғы "12" желтоқсандағы 10-сессиясының № 71 шешіміне 1-қосымша</w:t>
            </w:r>
          </w:p>
        </w:tc>
      </w:tr>
    </w:tbl>
    <w:bookmarkStart w:name="z32" w:id="21"/>
    <w:p>
      <w:pPr>
        <w:spacing w:after="0"/>
        <w:ind w:left="0"/>
        <w:jc w:val="left"/>
      </w:pPr>
      <w:r>
        <w:rPr>
          <w:rFonts w:ascii="Times New Roman"/>
          <w:b/>
          <w:i w:val="false"/>
          <w:color w:val="000000"/>
        </w:rPr>
        <w:t xml:space="preserve"> 2017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Санаты </w:t>
            </w:r>
          </w:p>
          <w:bookmarkEnd w:id="22"/>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176 630 158,4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2</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4 034 818,4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3 009 433,2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3 009 433,2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3</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4</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163 370 595,2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597 022,2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162 773 573,0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Функционалдық топ</w:t>
            </w:r>
          </w:p>
          <w:bookmarkEnd w:id="54"/>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175 087 551,3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01</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3 742 877,5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1 698 223,4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02</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1 590 097,1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1 419 155,3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1 106 675,5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03</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7 400 692,6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6 376 869,2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04</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22 744 959,9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10 720 251,9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974 996,1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3 405 592,0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1 192 222,3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2 580 447,5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8 954 556,5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7 644 018,9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05</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25 117 618,7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19 624 563,9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5 493 054,8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5 493 054,8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06</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5 448 217,8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5 159 923,8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273 856,2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07</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13 500 216,2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7 981 615,6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1 201 185,9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1 513 094,9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5 518 600,6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2 098 778,1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272 743,9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3 116 401,9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08</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8 302 578,9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2 264 197,7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749 619,4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263 342,8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359 699,5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3 182 805,2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1 504 882,4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435 920,1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09</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1 493 546,2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1 186 174,6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1 186 174,6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10</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11 722 555,7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2 353 528,3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9 014 721,5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11</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9"/>
          <w:p>
            <w:pPr>
              <w:spacing w:after="20"/>
              <w:ind w:left="20"/>
              <w:jc w:val="both"/>
            </w:pP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12</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8 454 375,1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8 454 375,1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1 259 955,7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5"/>
          <w:p>
            <w:pPr>
              <w:spacing w:after="20"/>
              <w:ind w:left="20"/>
              <w:jc w:val="both"/>
            </w:pP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1 495 360,8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3 891 578,4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13</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377 235,5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7"/>
          <w:p>
            <w:pPr>
              <w:spacing w:after="20"/>
              <w:ind w:left="20"/>
              <w:jc w:val="both"/>
            </w:pP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14</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15</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62 225 165,1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9"/>
          <w:p>
            <w:pPr>
              <w:spacing w:after="20"/>
              <w:ind w:left="20"/>
              <w:jc w:val="both"/>
            </w:pP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62 225 165,1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0"/>
          <w:p>
            <w:pPr>
              <w:spacing w:after="20"/>
              <w:ind w:left="20"/>
              <w:jc w:val="both"/>
            </w:pP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1"/>
          <w:p>
            <w:pPr>
              <w:spacing w:after="20"/>
              <w:ind w:left="20"/>
              <w:jc w:val="both"/>
            </w:pP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06</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07</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1"/>
          <w:p>
            <w:pPr>
              <w:spacing w:after="20"/>
              <w:ind w:left="20"/>
              <w:jc w:val="both"/>
            </w:pP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10</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13</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9"/>
          <w:p>
            <w:pPr>
              <w:spacing w:after="20"/>
              <w:ind w:left="20"/>
              <w:jc w:val="both"/>
            </w:pPr>
            <w:r>
              <w:rPr>
                <w:rFonts w:ascii="Times New Roman"/>
                <w:b w:val="false"/>
                <w:i w:val="false"/>
                <w:color w:val="000000"/>
                <w:sz w:val="20"/>
              </w:rPr>
              <w:t>
5</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3 958 331,5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3 958 331,5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3 523 914,9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950 241,9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2 573 673,0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0"/>
          <w:p>
            <w:pPr>
              <w:spacing w:after="20"/>
              <w:ind w:left="20"/>
              <w:jc w:val="both"/>
            </w:pP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1"/>
          <w:p>
            <w:pPr>
              <w:spacing w:after="20"/>
              <w:ind w:left="20"/>
              <w:jc w:val="both"/>
            </w:pP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2"/>
          <w:p>
            <w:pPr>
              <w:spacing w:after="20"/>
              <w:ind w:left="20"/>
              <w:jc w:val="both"/>
            </w:pPr>
            <w:r>
              <w:rPr>
                <w:rFonts w:ascii="Times New Roman"/>
                <w:b w:val="false"/>
                <w:i w:val="false"/>
                <w:color w:val="000000"/>
                <w:sz w:val="20"/>
              </w:rPr>
              <w:t>
07</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3"/>
          <w:p>
            <w:pPr>
              <w:spacing w:after="20"/>
              <w:ind w:left="20"/>
              <w:jc w:val="both"/>
            </w:pP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5"/>
          <w:p>
            <w:pPr>
              <w:spacing w:after="20"/>
              <w:ind w:left="20"/>
              <w:jc w:val="both"/>
            </w:pP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-6 737 334,9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6"/>
          <w:p>
            <w:pPr>
              <w:spacing w:after="20"/>
              <w:ind w:left="20"/>
              <w:jc w:val="both"/>
            </w:pP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6 737 334,9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7"/>
          <w:p>
            <w:pPr>
              <w:spacing w:after="20"/>
              <w:ind w:left="20"/>
              <w:jc w:val="both"/>
            </w:pPr>
            <w:r>
              <w:rPr>
                <w:rFonts w:ascii="Times New Roman"/>
                <w:b w:val="false"/>
                <w:i w:val="false"/>
                <w:color w:val="000000"/>
                <w:sz w:val="20"/>
              </w:rPr>
              <w:t>
7</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8"/>
          <w:p>
            <w:pPr>
              <w:spacing w:after="20"/>
              <w:ind w:left="20"/>
              <w:jc w:val="both"/>
            </w:pPr>
            <w:r>
              <w:rPr>
                <w:rFonts w:ascii="Times New Roman"/>
                <w:b w:val="false"/>
                <w:i w:val="false"/>
                <w:color w:val="000000"/>
                <w:sz w:val="20"/>
              </w:rPr>
              <w:t>
16</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9"/>
          <w:p>
            <w:pPr>
              <w:spacing w:after="20"/>
              <w:ind w:left="20"/>
              <w:jc w:val="both"/>
            </w:pPr>
            <w:r>
              <w:rPr>
                <w:rFonts w:ascii="Times New Roman"/>
                <w:b w:val="false"/>
                <w:i w:val="false"/>
                <w:color w:val="000000"/>
                <w:sz w:val="20"/>
              </w:rPr>
              <w:t>
8</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0"/>
          <w:p>
            <w:pPr>
              <w:spacing w:after="20"/>
              <w:ind w:left="20"/>
              <w:jc w:val="both"/>
            </w:pP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