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ce8e" w14:textId="bccc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Баутин ауылы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10/89 шешімі. Маңғыстау облысы Әділет департаментінде 2017 жылғы 21 сәуірде № 3341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18.05.2018 </w:t>
      </w:r>
      <w:r>
        <w:rPr>
          <w:rFonts w:ascii="Times New Roman"/>
          <w:b w:val="false"/>
          <w:i w:val="false"/>
          <w:color w:val="000000"/>
          <w:sz w:val="28"/>
        </w:rPr>
        <w:t>№ 20/176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Баутин ауылы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Баутин ауылының әкімі</w:t>
      </w:r>
    </w:p>
    <w:p>
      <w:pPr>
        <w:spacing w:after="0"/>
        <w:ind w:left="0"/>
        <w:jc w:val="both"/>
      </w:pPr>
      <w:r>
        <w:rPr>
          <w:rFonts w:ascii="Times New Roman"/>
          <w:b w:val="false"/>
          <w:i w:val="false"/>
          <w:color w:val="000000"/>
          <w:sz w:val="28"/>
        </w:rPr>
        <w:t>
      Д.Меңдіханов</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p>
      <w:pPr>
        <w:spacing w:after="0"/>
        <w:ind w:left="0"/>
        <w:jc w:val="left"/>
      </w:pPr>
      <w:r>
        <w:rPr>
          <w:rFonts w:ascii="Times New Roman"/>
          <w:b/>
          <w:i w:val="false"/>
          <w:color w:val="000000"/>
        </w:rPr>
        <w:t xml:space="preserve"> Баутин ауылы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Масштаб 1:15000</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Баутин ауылы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2351"/>
        <w:gridCol w:w="4398"/>
        <w:gridCol w:w="3376"/>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жағалауы</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селитебтік аумақ</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аймақ - </w:t>
      </w:r>
      <w:r>
        <w:rPr>
          <w:rFonts w:ascii="Times New Roman"/>
          <w:b w:val="false"/>
          <w:i w:val="false"/>
          <w:color w:val="000000"/>
          <w:sz w:val="28"/>
        </w:rPr>
        <w:t xml:space="preserve">Каспий теңізінің жағалауы. Жағаның ені </w:t>
      </w:r>
      <w:r>
        <w:rPr>
          <w:rFonts w:ascii="Times New Roman"/>
          <w:b/>
          <w:i w:val="false"/>
          <w:color w:val="000000"/>
          <w:sz w:val="28"/>
        </w:rPr>
        <w:t>-</w:t>
      </w:r>
      <w:r>
        <w:rPr>
          <w:rFonts w:ascii="Times New Roman"/>
          <w:b w:val="false"/>
          <w:i w:val="false"/>
          <w:color w:val="000000"/>
          <w:sz w:val="28"/>
        </w:rPr>
        <w:t xml:space="preserve"> 1 шақырым, Баутин ауылының пайдалануындағы жағалау аймағының солтүстік-батыс бөлігінің шекарасымен өтіп жатыр.</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II аймақ</w:t>
      </w:r>
      <w:r>
        <w:rPr>
          <w:rFonts w:ascii="Times New Roman"/>
          <w:b w:val="false"/>
          <w:i w:val="false"/>
          <w:color w:val="000000"/>
          <w:sz w:val="28"/>
        </w:rPr>
        <w:t xml:space="preserve"> - өндірістік және селитебтік аумақ. Өндірістік құрылыстар жерлері, негізгі әкімшілік ғимараттар, жалпы білім беретін мектептер, балабақшалар, кітапхана, жеке меншік ұсақ дүкендер желісі, кафелер және мейрамханалар кіреді. Тұрғын массивтер газбен, электрмен және телефон байланысымен қамтамасыз етілген.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