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1d12" w14:textId="f701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жайылымдарды басқару және оларды пайдалану жөніндегі 2018 жылға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2017 жылғы 22 желтоқсандағы № 168/20 шешімі. Павлодар облысының Әділет департаментінде 2018 жылғы 8 қаңтарда № 5791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Ақсу қаласы бойынша жайылымдарды басқару және оларды пайдалану жөніндегі 2018 жылға арналған жоспар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кәсіпкерлікті, агроөнеркәсіптік кешенді және коммуналдық шаруашылықты дамыту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168/20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қаласы бойынша жайылымдарды басқару және оларды</w:t>
      </w:r>
      <w:r>
        <w:br/>
      </w:r>
      <w:r>
        <w:rPr>
          <w:rFonts w:ascii="Times New Roman"/>
          <w:b/>
          <w:i w:val="false"/>
          <w:color w:val="000000"/>
        </w:rPr>
        <w:t>пайдалану жөніндегі 2018 жылға арналған жоспарды бекіту туралы</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Ақсу қаласы бойынша жайылымдарды басқару және оларды пайдалану жөніндегі 2018 жылға арналған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Ақсу қаласының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картаны;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Ақсу қаласы, ауылдық округтер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Ақсу қаласы Ертіс өзенінің сол жағалауындаорналасқан жәнесолтүстікте Актоғай ауданымен, оңтүстікте Баянауыл ауданымен, Май ауданымен, Лебяжье ауданымен, батыста Павлодар ауданымен, шығыстаЕкібастұз қаласының аумағымен шекараласады. Аумақтық-әкімшілік бөлінісі 6 ауылдық округте орналасқан 32 елді мекендерден тұрады.</w:t>
      </w:r>
    </w:p>
    <w:bookmarkEnd w:id="11"/>
    <w:p>
      <w:pPr>
        <w:spacing w:after="0"/>
        <w:ind w:left="0"/>
        <w:jc w:val="both"/>
      </w:pPr>
      <w:r>
        <w:rPr>
          <w:rFonts w:ascii="Times New Roman"/>
          <w:b w:val="false"/>
          <w:i w:val="false"/>
          <w:color w:val="000000"/>
          <w:sz w:val="28"/>
        </w:rPr>
        <w:t>
      Климаты күртконтиненттік, қысы салыстырмалы суық, жазы ыстық. Қаңтар айындағы жылдық орташа температурасы Цельсий бойынша -20 – -30°, шілдеде Цельсий бойынша +25 – +30°. Жауын-шашынның жылдық орташа мөлшері – 100-150 миллиметр.</w:t>
      </w:r>
    </w:p>
    <w:bookmarkStart w:name="z14" w:id="12"/>
    <w:p>
      <w:pPr>
        <w:spacing w:after="0"/>
        <w:ind w:left="0"/>
        <w:jc w:val="both"/>
      </w:pPr>
      <w:r>
        <w:rPr>
          <w:rFonts w:ascii="Times New Roman"/>
          <w:b w:val="false"/>
          <w:i w:val="false"/>
          <w:color w:val="000000"/>
          <w:sz w:val="28"/>
        </w:rPr>
        <w:t>
      6. Жалпы жер қоры 801 358,43 гектар (бұдан әрі – га), соның ішінде жайылымдар – 588175,4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735473,2 га;</w:t>
      </w:r>
    </w:p>
    <w:p>
      <w:pPr>
        <w:spacing w:after="0"/>
        <w:ind w:left="0"/>
        <w:jc w:val="both"/>
      </w:pPr>
      <w:r>
        <w:rPr>
          <w:rFonts w:ascii="Times New Roman"/>
          <w:b w:val="false"/>
          <w:i w:val="false"/>
          <w:color w:val="000000"/>
          <w:sz w:val="28"/>
        </w:rPr>
        <w:t>
      елдi мекендердiң жерлерi – 132569,56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19476,46 га;</w:t>
      </w:r>
    </w:p>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жерлер – 65051,04 га;</w:t>
      </w:r>
    </w:p>
    <w:p>
      <w:pPr>
        <w:spacing w:after="0"/>
        <w:ind w:left="0"/>
        <w:jc w:val="both"/>
      </w:pPr>
      <w:r>
        <w:rPr>
          <w:rFonts w:ascii="Times New Roman"/>
          <w:b w:val="false"/>
          <w:i w:val="false"/>
          <w:color w:val="000000"/>
          <w:sz w:val="28"/>
        </w:rPr>
        <w:t>
      су қорының жерлерi – 4141 га;</w:t>
      </w:r>
    </w:p>
    <w:p>
      <w:pPr>
        <w:spacing w:after="0"/>
        <w:ind w:left="0"/>
        <w:jc w:val="both"/>
      </w:pPr>
      <w:r>
        <w:rPr>
          <w:rFonts w:ascii="Times New Roman"/>
          <w:b w:val="false"/>
          <w:i w:val="false"/>
          <w:color w:val="000000"/>
          <w:sz w:val="28"/>
        </w:rPr>
        <w:t>
      босалқы жерлер – 315817,6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bookmarkEnd w:id="14"/>
    <w:p>
      <w:pPr>
        <w:spacing w:after="0"/>
        <w:ind w:left="0"/>
        <w:jc w:val="both"/>
      </w:pPr>
      <w:r>
        <w:rPr>
          <w:rFonts w:ascii="Times New Roman"/>
          <w:b w:val="false"/>
          <w:i w:val="false"/>
          <w:color w:val="000000"/>
          <w:sz w:val="28"/>
        </w:rPr>
        <w:t>
      Аумақта солтүстіктен оңтүстікке қарай қоңыр каштан, каштан (қоңырқай) және ашық каштан топырақтары басым.</w:t>
      </w:r>
    </w:p>
    <w:p>
      <w:pPr>
        <w:spacing w:after="0"/>
        <w:ind w:left="0"/>
        <w:jc w:val="both"/>
      </w:pPr>
      <w:r>
        <w:rPr>
          <w:rFonts w:ascii="Times New Roman"/>
          <w:b w:val="false"/>
          <w:i w:val="false"/>
          <w:color w:val="000000"/>
          <w:sz w:val="28"/>
        </w:rPr>
        <w:t>
      75 тұқымдас және 29 түрге жататын кең таралған гүлді өсімдіктердің шамамен 130 түрі бар. Келесі тұқымдас өсімдіктер кең таралған: дәнді, күрделі гүлділер және алаботалар.</w:t>
      </w:r>
    </w:p>
    <w:p>
      <w:pPr>
        <w:spacing w:after="0"/>
        <w:ind w:left="0"/>
        <w:jc w:val="both"/>
      </w:pPr>
      <w:r>
        <w:rPr>
          <w:rFonts w:ascii="Times New Roman"/>
          <w:b w:val="false"/>
          <w:i w:val="false"/>
          <w:color w:val="000000"/>
          <w:sz w:val="28"/>
        </w:rPr>
        <w:t>
      Жайылымдық алқаптардың орташа астық өнімділігі 3,5-5,0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ұзақтығы 170-180 күн ұзақтылығымен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Жайылымның негізігі пайдаланушылары ауыл шаруашылығы құрылымдары болып табылады. Тұрғындарының мал басы елді мекендерге тиесілі жерлерде бағылады.</w:t>
      </w:r>
    </w:p>
    <w:bookmarkEnd w:id="16"/>
    <w:p>
      <w:pPr>
        <w:spacing w:after="0"/>
        <w:ind w:left="0"/>
        <w:jc w:val="both"/>
      </w:pPr>
      <w:r>
        <w:rPr>
          <w:rFonts w:ascii="Times New Roman"/>
          <w:b w:val="false"/>
          <w:i w:val="false"/>
          <w:color w:val="000000"/>
          <w:sz w:val="28"/>
        </w:rPr>
        <w:t>
      Барлық ауылдық округтерде шалғайдағы жайылымдарға ауылшаруашылығы жануарларын жаю үшін жер учаскелері бөлінген.</w:t>
      </w:r>
    </w:p>
    <w:bookmarkStart w:name="z19" w:id="17"/>
    <w:p>
      <w:pPr>
        <w:spacing w:after="0"/>
        <w:ind w:left="0"/>
        <w:jc w:val="both"/>
      </w:pPr>
      <w:r>
        <w:rPr>
          <w:rFonts w:ascii="Times New Roman"/>
          <w:b w:val="false"/>
          <w:i w:val="false"/>
          <w:color w:val="000000"/>
          <w:sz w:val="28"/>
        </w:rPr>
        <w:t>
      9. Ауыл шаруашылығы жануарларының мал басының саны: жеке тұлғаларда – 23321 бас ірі қара мал, 43264 бас ұсақ мал, 5403 бас жылқы; заңды тұлғаларда – 2300 бас ірі қара мал, 877 бас ұсақ мал, 1047 бас жылқы. Жалпы қала бойынша 28372 бас ірі қара мал, 68333 бас ұсақ мал, 8992 бас жылқы; шаруа қожалықтарында – 10983 бас ірі қара мал, 12280 бас ұсақ мал, 3886 бас жылқы.</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іріқара мал 195 үйір;</w:t>
      </w:r>
    </w:p>
    <w:p>
      <w:pPr>
        <w:spacing w:after="0"/>
        <w:ind w:left="0"/>
        <w:jc w:val="both"/>
      </w:pPr>
      <w:r>
        <w:rPr>
          <w:rFonts w:ascii="Times New Roman"/>
          <w:b w:val="false"/>
          <w:i w:val="false"/>
          <w:color w:val="000000"/>
          <w:sz w:val="28"/>
        </w:rPr>
        <w:t>
      ұсақмал 151 отар;</w:t>
      </w:r>
    </w:p>
    <w:p>
      <w:pPr>
        <w:spacing w:after="0"/>
        <w:ind w:left="0"/>
        <w:jc w:val="both"/>
      </w:pPr>
      <w:r>
        <w:rPr>
          <w:rFonts w:ascii="Times New Roman"/>
          <w:b w:val="false"/>
          <w:i w:val="false"/>
          <w:color w:val="000000"/>
          <w:sz w:val="28"/>
        </w:rPr>
        <w:t>
      жылқылар 57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Ақсу қаласында 22 ветеринариялық-санитарлық объектілері жұмыс істейді, соның ішінде 15 мал көмінділері, 5 мал дәрігерлік пункттер, 2 қашырым пункттері.</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w:t>
      </w:r>
      <w:r>
        <w:br/>
      </w:r>
      <w:r>
        <w:rPr>
          <w:rFonts w:ascii="Times New Roman"/>
          <w:b/>
          <w:i w:val="false"/>
          <w:color w:val="000000"/>
        </w:rPr>
        <w:t>жер учаскелерінің меншік иелері және жер</w:t>
      </w:r>
      <w:r>
        <w:br/>
      </w:r>
      <w:r>
        <w:rPr>
          <w:rFonts w:ascii="Times New Roman"/>
          <w:b/>
          <w:i w:val="false"/>
          <w:color w:val="000000"/>
        </w:rPr>
        <w:t>пайдаланушылар бөлінісінде Ақсу қаласының аумағында</w:t>
      </w:r>
      <w:r>
        <w:br/>
      </w:r>
      <w:r>
        <w:rPr>
          <w:rFonts w:ascii="Times New Roman"/>
          <w:b/>
          <w:i w:val="false"/>
          <w:color w:val="000000"/>
        </w:rPr>
        <w:t xml:space="preserve">жайылымдардың орналасу схемасы (картасы) </w:t>
      </w:r>
    </w:p>
    <w:bookmarkEnd w:id="23"/>
    <w:p>
      <w:pPr>
        <w:spacing w:after="0"/>
        <w:ind w:left="0"/>
        <w:jc w:val="both"/>
      </w:pPr>
      <w:r>
        <w:drawing>
          <wp:inline distT="0" distB="0" distL="0" distR="0">
            <wp:extent cx="6972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972300"/>
                    </a:xfrm>
                    <a:prstGeom prst="rect">
                      <a:avLst/>
                    </a:prstGeom>
                  </pic:spPr>
                </pic:pic>
              </a:graphicData>
            </a:graphic>
          </wp:inline>
        </w:drawing>
      </w:r>
    </w:p>
    <w:p>
      <w:pPr>
        <w:spacing w:after="0"/>
        <w:ind w:left="0"/>
        <w:jc w:val="left"/>
      </w:pPr>
      <w:r>
        <w:br/>
      </w:r>
    </w:p>
    <w:bookmarkStart w:name="z27"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Жайылым айналымдарының қолайлы схемалары </w:t>
      </w:r>
    </w:p>
    <w:bookmarkEnd w:id="25"/>
    <w:p>
      <w:pPr>
        <w:spacing w:after="0"/>
        <w:ind w:left="0"/>
        <w:jc w:val="both"/>
      </w:pPr>
      <w:r>
        <w:drawing>
          <wp:inline distT="0" distB="0" distL="0" distR="0">
            <wp:extent cx="68199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68707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2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27"/>
    <w:p>
      <w:pPr>
        <w:spacing w:after="0"/>
        <w:ind w:left="0"/>
        <w:jc w:val="both"/>
      </w:pPr>
      <w:r>
        <w:drawing>
          <wp:inline distT="0" distB="0" distL="0" distR="0">
            <wp:extent cx="6883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83400" cy="68580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1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Жайылым пайдаланушылардың су тұтыну нормасына сәйкес жасалған</w:t>
      </w:r>
      <w:r>
        <w:br/>
      </w:r>
      <w:r>
        <w:rPr>
          <w:rFonts w:ascii="Times New Roman"/>
          <w:b/>
          <w:i w:val="false"/>
          <w:color w:val="000000"/>
        </w:rPr>
        <w:t>су көздеріне (көлдерге, өзендерге, тоғандарға, апандарға, суару немесе суландыру</w:t>
      </w:r>
      <w:r>
        <w:br/>
      </w:r>
      <w:r>
        <w:rPr>
          <w:rFonts w:ascii="Times New Roman"/>
          <w:b/>
          <w:i w:val="false"/>
          <w:color w:val="000000"/>
        </w:rPr>
        <w:t xml:space="preserve">каналдарына, құбырлы немесе шахталы құдықтарға) қол жеткізу схемасы </w:t>
      </w:r>
    </w:p>
    <w:bookmarkEnd w:id="29"/>
    <w:p>
      <w:pPr>
        <w:spacing w:after="0"/>
        <w:ind w:left="0"/>
        <w:jc w:val="both"/>
      </w:pPr>
      <w:r>
        <w:drawing>
          <wp:inline distT="0" distB="0" distL="0" distR="0">
            <wp:extent cx="67818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6261100"/>
                    </a:xfrm>
                    <a:prstGeom prst="rect">
                      <a:avLst/>
                    </a:prstGeom>
                  </pic:spPr>
                </pic:pic>
              </a:graphicData>
            </a:graphic>
          </wp:inline>
        </w:drawing>
      </w:r>
    </w:p>
    <w:p>
      <w:pPr>
        <w:spacing w:after="0"/>
        <w:ind w:left="0"/>
        <w:jc w:val="left"/>
      </w:pPr>
      <w:r>
        <w:br/>
      </w:r>
    </w:p>
    <w:bookmarkStart w:name="z36" w:id="30"/>
    <w:p>
      <w:pPr>
        <w:spacing w:after="0"/>
        <w:ind w:left="0"/>
        <w:jc w:val="left"/>
      </w:pPr>
      <w:r>
        <w:rPr>
          <w:rFonts w:ascii="Times New Roman"/>
          <w:b/>
          <w:i w:val="false"/>
          <w:color w:val="000000"/>
        </w:rPr>
        <w:t xml:space="preserve"> Шартты белгілер: </w:t>
      </w:r>
    </w:p>
    <w:bookmarkEnd w:id="30"/>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31"/>
    <w:p>
      <w:pPr>
        <w:spacing w:after="0"/>
        <w:ind w:left="0"/>
        <w:jc w:val="both"/>
      </w:pPr>
      <w:r>
        <w:drawing>
          <wp:inline distT="0" distB="0" distL="0" distR="0">
            <wp:extent cx="68453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45300" cy="6680200"/>
                    </a:xfrm>
                    <a:prstGeom prst="rect">
                      <a:avLst/>
                    </a:prstGeom>
                  </pic:spPr>
                </pic:pic>
              </a:graphicData>
            </a:graphic>
          </wp:inline>
        </w:drawing>
      </w:r>
    </w:p>
    <w:p>
      <w:pPr>
        <w:spacing w:after="0"/>
        <w:ind w:left="0"/>
        <w:jc w:val="left"/>
      </w:pPr>
      <w:r>
        <w:br/>
      </w:r>
    </w:p>
    <w:bookmarkStart w:name="z39" w:id="32"/>
    <w:p>
      <w:pPr>
        <w:spacing w:after="0"/>
        <w:ind w:left="0"/>
        <w:jc w:val="left"/>
      </w:pPr>
      <w:r>
        <w:rPr>
          <w:rFonts w:ascii="Times New Roman"/>
          <w:b/>
          <w:i w:val="false"/>
          <w:color w:val="000000"/>
        </w:rPr>
        <w:t xml:space="preserve"> Шартты белгілер: </w:t>
      </w:r>
    </w:p>
    <w:bookmarkEnd w:id="32"/>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7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Қала, ауылдық округтер, ауылдар маңында орналасқан</w:t>
      </w:r>
      <w:r>
        <w:br/>
      </w:r>
      <w:r>
        <w:rPr>
          <w:rFonts w:ascii="Times New Roman"/>
          <w:b/>
          <w:i w:val="false"/>
          <w:color w:val="000000"/>
        </w:rPr>
        <w:t>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33"/>
    <w:p>
      <w:pPr>
        <w:spacing w:after="0"/>
        <w:ind w:left="0"/>
        <w:jc w:val="both"/>
      </w:pPr>
      <w:r>
        <w:drawing>
          <wp:inline distT="0" distB="0" distL="0" distR="0">
            <wp:extent cx="69469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6362700"/>
                    </a:xfrm>
                    <a:prstGeom prst="rect">
                      <a:avLst/>
                    </a:prstGeom>
                  </pic:spPr>
                </pic:pic>
              </a:graphicData>
            </a:graphic>
          </wp:inline>
        </w:drawing>
      </w:r>
    </w:p>
    <w:p>
      <w:pPr>
        <w:spacing w:after="0"/>
        <w:ind w:left="0"/>
        <w:jc w:val="left"/>
      </w:pPr>
      <w:r>
        <w:br/>
      </w:r>
    </w:p>
    <w:bookmarkStart w:name="z42" w:id="34"/>
    <w:p>
      <w:pPr>
        <w:spacing w:after="0"/>
        <w:ind w:left="0"/>
        <w:jc w:val="left"/>
      </w:pPr>
      <w:r>
        <w:rPr>
          <w:rFonts w:ascii="Times New Roman"/>
          <w:b/>
          <w:i w:val="false"/>
          <w:color w:val="000000"/>
        </w:rPr>
        <w:t xml:space="preserve"> Шартты белгілер: </w:t>
      </w:r>
    </w:p>
    <w:bookmarkEnd w:id="34"/>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2018 жылға арналған жоспарға</w:t>
            </w:r>
            <w:r>
              <w:br/>
            </w:r>
            <w:r>
              <w:rPr>
                <w:rFonts w:ascii="Times New Roman"/>
                <w:b w:val="false"/>
                <w:i w:val="false"/>
                <w:color w:val="000000"/>
                <w:sz w:val="20"/>
              </w:rPr>
              <w:t>7-қосымша</w:t>
            </w:r>
          </w:p>
        </w:tc>
      </w:tr>
    </w:tbl>
    <w:bookmarkStart w:name="z44" w:id="35"/>
    <w:p>
      <w:pPr>
        <w:spacing w:after="0"/>
        <w:ind w:left="0"/>
        <w:jc w:val="left"/>
      </w:pPr>
      <w:r>
        <w:rPr>
          <w:rFonts w:ascii="Times New Roman"/>
          <w:b/>
          <w:i w:val="false"/>
          <w:color w:val="000000"/>
        </w:rPr>
        <w:t xml:space="preserve"> Ауыл шаруашылығы жануарларын жаюдың және</w:t>
      </w:r>
      <w:r>
        <w:br/>
      </w:r>
      <w:r>
        <w:rPr>
          <w:rFonts w:ascii="Times New Roman"/>
          <w:b/>
          <w:i w:val="false"/>
          <w:color w:val="000000"/>
        </w:rPr>
        <w:t>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