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657e" w14:textId="15a6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2017 жылғы 28 ақпандағы № 247/3 қаулысы. Павлодар облысының Әділет департаментінде 2017 жылғы 31 наурызда № 5436 болып тіркелді. Күші жойылды - Павлодар облысы Екібастұз қалалық әкімдігінің 2018 жылғы 15 наурыздағы № 241/3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15.03.2018 № 241/3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мемлекеттiк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2016 жылғы 22 ақпандағы "Екібастұз қаласы әкімдігі атқарушы органдары "Б" корпусы мемлекеттік әкімшілік қызметшілерінің қызметін бағалау әдістемесін бекіту туралы" № 184/2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актiлерді мемлекеттiк тіркеу тiзiлiмiнде № 4960 болып тіркелген, 2016 жылғы 10 наурызда № 10 "Отарқа", № 10 "Голос Экибастуза" қалалық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2017 жылғы "28" ақпандағы</w:t>
            </w:r>
            <w:r>
              <w:br/>
            </w:r>
            <w:r>
              <w:rPr>
                <w:rFonts w:ascii="Times New Roman"/>
                <w:b w:val="false"/>
                <w:i w:val="false"/>
                <w:color w:val="000000"/>
                <w:sz w:val="20"/>
              </w:rPr>
              <w:t>№ 247/3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Екібастұз қаласы әкімдігінің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Екібастұз қаласы әкімдігінің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кешіктірілмей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кешіктірілмей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"Б" корпусы қызметшісінің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Екібастұз қаласы әкімі аппаратының персоналды басқару қызметі (бұдан әрі -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бас маманы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корпусының қызметшісі оның тікелей басшысымен бірлесіп бағаланатын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құрастырады.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Екібастұз қаласы әкімі аппараты құжаттамалық қамтамасыз ету және мемлекеттік тілді енгізу бөлімінің (бұдан әрі - құжаттамалық қамтамасыз ету бөлімі)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құжаттамалық қамтамасыз ету бөлімі берген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36"/>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w:t>
      </w:r>
    </w:p>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толтырылған жеке жоспарды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бас маманы және "Б" корпусы қызметшісінің тікелей басшысы танысудан бас тарту туралы еркін нысанда акт жасайды.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Қорытынды жылдық бағалау мынадай шәкіл бойынша қойылады:</w:t>
      </w:r>
    </w:p>
    <w:bookmarkEnd w:id="43"/>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w:t>
      </w:r>
    </w:p>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Комиссия отырысы хаттамасының жобасы.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бас маманы танысудан бас тарту туралы еркін нұсқада акт жасайды.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1"/>
    <w:p>
      <w:pPr>
        <w:spacing w:after="0"/>
        <w:ind w:left="0"/>
        <w:jc w:val="both"/>
      </w:pPr>
      <w:r>
        <w:rPr>
          <w:rFonts w:ascii="Times New Roman"/>
          <w:b w:val="false"/>
          <w:i w:val="false"/>
          <w:color w:val="000000"/>
          <w:sz w:val="28"/>
        </w:rPr>
        <w:t>
      ________________________________________________ 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Т.А.Ә. (болған жағдайда):</w:t>
      </w:r>
      <w:r>
        <w:br/>
      </w: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5522"/>
        <w:gridCol w:w="6778"/>
      </w:tblGrid>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тәртіпті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тәртіпті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22"/>
        <w:gridCol w:w="6778"/>
      </w:tblGrid>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 (болған жағдайда):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22"/>
        <w:gridCol w:w="6778"/>
      </w:tblGrid>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 төрағасы: _______________________ Күні: ____________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