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f23c" w14:textId="219f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Жангелдин ауылдық округі әкімінің 2017 жылғы 6 желтоқсандағы № 26 шешімі. Атырау облысының Әділет департаментінде 2017 жылғы 22 желтоқсанда № 4019 болып тіркелді. Күші жойылды - Атырау облысы Қызылқоға ауданы Жангелдин ауылдық округі әкімінің 2018 жылғы 29 наурыздағы № 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Жангелдин ауылдық округі әкімінің 29.03.2018 № </w:t>
      </w:r>
      <w:r>
        <w:rPr>
          <w:rFonts w:ascii="Times New Roman"/>
          <w:b w:val="false"/>
          <w:i w:val="false"/>
          <w:color w:val="ff0000"/>
          <w:sz w:val="28"/>
        </w:rPr>
        <w:t>3</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2017 жылғы 21 қарашадағы № 213 ұсынысы негізінде Жангелдин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"Думан" шаруа қожалығында бір бас айғыр малынан құтыру ауруының пайда болуына байланысты "Қазірет қазған" қыстағының аумағына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әкімінің м.у.а.: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06.12.2017 жыл</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w:t>
            </w:r>
            <w:r>
              <w:br/>
            </w:r>
            <w:r>
              <w:rPr>
                <w:rFonts w:ascii="Times New Roman"/>
                <w:b w:val="false"/>
                <w:i/>
                <w:color w:val="000000"/>
                <w:sz w:val="20"/>
              </w:rPr>
              <w:t>Атырау облысы Қоғамдық</w:t>
            </w:r>
            <w:r>
              <w:br/>
            </w:r>
            <w:r>
              <w:rPr>
                <w:rFonts w:ascii="Times New Roman"/>
                <w:b w:val="false"/>
                <w:i/>
                <w:color w:val="000000"/>
                <w:sz w:val="20"/>
              </w:rPr>
              <w:t>денсаулық сақтау департаментінің</w:t>
            </w:r>
            <w:r>
              <w:br/>
            </w:r>
            <w:r>
              <w:rPr>
                <w:rFonts w:ascii="Times New Roman"/>
                <w:b w:val="false"/>
                <w:i/>
                <w:color w:val="000000"/>
                <w:sz w:val="20"/>
              </w:rPr>
              <w:t>Қызылқоға аудандық қоғамдық</w:t>
            </w:r>
            <w:r>
              <w:br/>
            </w:r>
            <w:r>
              <w:rPr>
                <w:rFonts w:ascii="Times New Roman"/>
                <w:b w:val="false"/>
                <w:i/>
                <w:color w:val="000000"/>
                <w:sz w:val="20"/>
              </w:rPr>
              <w:t>денсаулық сақтау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 басшысының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06.12.2017 жыл</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