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eef1" w14:textId="31de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нысандарының су қорғау аймақтары мен белдеулерін, оларды шаруашылықта пайдалану режимі мен ерекше жағдайларын белгілеу туралы</w:t>
      </w:r>
    </w:p>
    <w:p>
      <w:pPr>
        <w:spacing w:after="0"/>
        <w:ind w:left="0"/>
        <w:jc w:val="both"/>
      </w:pPr>
      <w:r>
        <w:rPr>
          <w:rFonts w:ascii="Times New Roman"/>
          <w:b w:val="false"/>
          <w:i w:val="false"/>
          <w:color w:val="000000"/>
          <w:sz w:val="28"/>
        </w:rPr>
        <w:t>Оңтүстiк Қазақстан облысы әкiмдiгiнiң 2017 жылғы 24 шiлдедегi № 200 қаулысы. Оңтүстiк Қазақстан облысының Әдiлет департаментiнде 2017 жылғы 9 тамызда № 4186 болып тiркелдi</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әкiмдiгiнiң 10.11.2022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Су кодексінің 39-бабының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2015 жылғы 18 мамырдағы "Су қорғау аймақтары мен белдеулерiн белгiлеу қағидаларын бекiту туралы"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тіркелген) сәйкес, Түркістан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әкiмдiгiнiң 10.11.2022 </w:t>
      </w:r>
      <w:r>
        <w:rPr>
          <w:rFonts w:ascii="Times New Roman"/>
          <w:b w:val="false"/>
          <w:i w:val="false"/>
          <w:color w:val="00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Белгіленсін: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су нысандарының су қорғау аймақтары мен белдеулері;</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су нысандарының су қорғау аймақтары мен белдеулерін шаруашылықта пайдалану режимі мен ерекше жағдайлары.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әкiмдiгiнiң 10.11.2022 </w:t>
      </w:r>
      <w:r>
        <w:rPr>
          <w:rFonts w:ascii="Times New Roman"/>
          <w:b w:val="false"/>
          <w:i w:val="false"/>
          <w:color w:val="00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Облыстың қала, аудан әкімдері заңнамада белгіленген тәртіпте:</w:t>
      </w:r>
    </w:p>
    <w:bookmarkEnd w:id="2"/>
    <w:p>
      <w:pPr>
        <w:spacing w:after="0"/>
        <w:ind w:left="0"/>
        <w:jc w:val="both"/>
      </w:pPr>
      <w:r>
        <w:rPr>
          <w:rFonts w:ascii="Times New Roman"/>
          <w:b w:val="false"/>
          <w:i w:val="false"/>
          <w:color w:val="000000"/>
          <w:sz w:val="28"/>
        </w:rPr>
        <w:t>
      1) тиісті облыстық маңызы бар қалалардың, аудандардың аумағында орналасқан су нысандары мен су шаруашылығы құрылымдарының су қорғау аймақтары мен белдеулерi шекараларын, олардың шаруашылық пайдаланудың режимі мен ерекше жағдайларының сақталуын;</w:t>
      </w:r>
    </w:p>
    <w:p>
      <w:pPr>
        <w:spacing w:after="0"/>
        <w:ind w:left="0"/>
        <w:jc w:val="both"/>
      </w:pPr>
      <w:r>
        <w:rPr>
          <w:rFonts w:ascii="Times New Roman"/>
          <w:b w:val="false"/>
          <w:i w:val="false"/>
          <w:color w:val="000000"/>
          <w:sz w:val="28"/>
        </w:rPr>
        <w:t xml:space="preserve">
      2) жер үсті суларының ластануын, қоқыстануы мен сарқылуын болдырмау, сондай-ақ жануарлар мен өсімдіктер дүниесін сақтау үшін осы қаулының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су нысандары мен су шаруашылығы құрылымдарын санитарлық-гигиеналық және экологиялық талаптарға сай келетін күйде ұстауды қамтамасыз етсін.</w:t>
      </w:r>
    </w:p>
    <w:bookmarkStart w:name="z4" w:id="3"/>
    <w:p>
      <w:pPr>
        <w:spacing w:after="0"/>
        <w:ind w:left="0"/>
        <w:jc w:val="both"/>
      </w:pPr>
      <w:r>
        <w:rPr>
          <w:rFonts w:ascii="Times New Roman"/>
          <w:b w:val="false"/>
          <w:i w:val="false"/>
          <w:color w:val="000000"/>
          <w:sz w:val="28"/>
        </w:rPr>
        <w:t>
      3. Облыстың қала, аудан әкімдері заңнамада белгіленген тәртіппен су қорғау белгiлерiнің сақталуын қамтамасыз ету жөнінде шаралар қолдансын.</w:t>
      </w:r>
    </w:p>
    <w:bookmarkEnd w:id="3"/>
    <w:bookmarkStart w:name="z5" w:id="4"/>
    <w:p>
      <w:pPr>
        <w:spacing w:after="0"/>
        <w:ind w:left="0"/>
        <w:jc w:val="both"/>
      </w:pPr>
      <w:r>
        <w:rPr>
          <w:rFonts w:ascii="Times New Roman"/>
          <w:b w:val="false"/>
          <w:i w:val="false"/>
          <w:color w:val="000000"/>
          <w:sz w:val="28"/>
        </w:rPr>
        <w:t>
      4. "Оңтүстік Қазақстан облысының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ресми жариялануын,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жіберуін;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күнтүзбелік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6. Осы қаулының орындалуын бақылау облыс әкімінің орынбасары Б.C.Жамаловқа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Ауыл шаруашылығы</w:t>
      </w:r>
    </w:p>
    <w:p>
      <w:pPr>
        <w:spacing w:after="0"/>
        <w:ind w:left="0"/>
        <w:jc w:val="both"/>
      </w:pPr>
      <w:r>
        <w:rPr>
          <w:rFonts w:ascii="Times New Roman"/>
          <w:b w:val="false"/>
          <w:i w:val="false"/>
          <w:color w:val="000000"/>
          <w:sz w:val="28"/>
        </w:rPr>
        <w:t>
      министрлігі Су ресурстары комитетінің</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Арал-Сырдария</w:t>
      </w:r>
    </w:p>
    <w:p>
      <w:pPr>
        <w:spacing w:after="0"/>
        <w:ind w:left="0"/>
        <w:jc w:val="both"/>
      </w:pPr>
      <w:r>
        <w:rPr>
          <w:rFonts w:ascii="Times New Roman"/>
          <w:b w:val="false"/>
          <w:i w:val="false"/>
          <w:color w:val="000000"/>
          <w:sz w:val="28"/>
        </w:rPr>
        <w:t>
      бассейндік инспекциясы"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____________________Ә.Қ.Қарлыханов</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 xml:space="preserve">21 </w:t>
      </w:r>
      <w:r>
        <w:rPr>
          <w:rFonts w:ascii="Times New Roman"/>
          <w:b w:val="false"/>
          <w:i w:val="false"/>
          <w:color w:val="000000"/>
          <w:sz w:val="28"/>
        </w:rPr>
        <w:t>" шілде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Денсаулық сақтау</w:t>
      </w:r>
    </w:p>
    <w:p>
      <w:pPr>
        <w:spacing w:after="0"/>
        <w:ind w:left="0"/>
        <w:jc w:val="both"/>
      </w:pPr>
      <w:r>
        <w:rPr>
          <w:rFonts w:ascii="Times New Roman"/>
          <w:b w:val="false"/>
          <w:i w:val="false"/>
          <w:color w:val="000000"/>
          <w:sz w:val="28"/>
        </w:rPr>
        <w:t>
      министрлігі Қоғамдық денсаулық сақтау</w:t>
      </w:r>
    </w:p>
    <w:p>
      <w:pPr>
        <w:spacing w:after="0"/>
        <w:ind w:left="0"/>
        <w:jc w:val="both"/>
      </w:pPr>
      <w:r>
        <w:rPr>
          <w:rFonts w:ascii="Times New Roman"/>
          <w:b w:val="false"/>
          <w:i w:val="false"/>
          <w:color w:val="000000"/>
          <w:sz w:val="28"/>
        </w:rPr>
        <w:t>
      комитетінің Оңтүстік Қазақстан облысы</w:t>
      </w:r>
    </w:p>
    <w:p>
      <w:pPr>
        <w:spacing w:after="0"/>
        <w:ind w:left="0"/>
        <w:jc w:val="both"/>
      </w:pPr>
      <w:r>
        <w:rPr>
          <w:rFonts w:ascii="Times New Roman"/>
          <w:b w:val="false"/>
          <w:i w:val="false"/>
          <w:color w:val="000000"/>
          <w:sz w:val="28"/>
        </w:rPr>
        <w:t>
      Қоғамдық денсаулық сақтау департаментінің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___________________Н.С.Нышанов</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 xml:space="preserve">21 </w:t>
      </w:r>
      <w:r>
        <w:rPr>
          <w:rFonts w:ascii="Times New Roman"/>
          <w:b w:val="false"/>
          <w:i w:val="false"/>
          <w:color w:val="000000"/>
          <w:sz w:val="28"/>
        </w:rPr>
        <w:t>" шілде 2017 жыл</w:t>
      </w:r>
    </w:p>
    <w:p>
      <w:pPr>
        <w:spacing w:after="0"/>
        <w:ind w:left="0"/>
        <w:jc w:val="both"/>
      </w:pPr>
      <w:r>
        <w:rPr>
          <w:rFonts w:ascii="Times New Roman"/>
          <w:b w:val="false"/>
          <w:i w:val="false"/>
          <w:color w:val="000000"/>
          <w:sz w:val="28"/>
        </w:rPr>
        <w:t>
      Ә.Е.Тұрғымбеков</w:t>
      </w:r>
    </w:p>
    <w:p>
      <w:pPr>
        <w:spacing w:after="0"/>
        <w:ind w:left="0"/>
        <w:jc w:val="both"/>
      </w:pPr>
      <w:r>
        <w:rPr>
          <w:rFonts w:ascii="Times New Roman"/>
          <w:b w:val="false"/>
          <w:i w:val="false"/>
          <w:color w:val="000000"/>
          <w:sz w:val="28"/>
        </w:rPr>
        <w:t>
      Ж.Қ.Бөкенбаев</w:t>
      </w:r>
    </w:p>
    <w:p>
      <w:pPr>
        <w:spacing w:after="0"/>
        <w:ind w:left="0"/>
        <w:jc w:val="both"/>
      </w:pPr>
      <w:r>
        <w:rPr>
          <w:rFonts w:ascii="Times New Roman"/>
          <w:b w:val="false"/>
          <w:i w:val="false"/>
          <w:color w:val="000000"/>
          <w:sz w:val="28"/>
        </w:rPr>
        <w:t>
      Б.С.Жамалов</w:t>
      </w:r>
    </w:p>
    <w:p>
      <w:pPr>
        <w:spacing w:after="0"/>
        <w:ind w:left="0"/>
        <w:jc w:val="both"/>
      </w:pPr>
      <w:r>
        <w:rPr>
          <w:rFonts w:ascii="Times New Roman"/>
          <w:b w:val="false"/>
          <w:i w:val="false"/>
          <w:color w:val="000000"/>
          <w:sz w:val="28"/>
        </w:rPr>
        <w:t>
      Е.Ә.Садыр</w:t>
      </w:r>
    </w:p>
    <w:p>
      <w:pPr>
        <w:spacing w:after="0"/>
        <w:ind w:left="0"/>
        <w:jc w:val="both"/>
      </w:pPr>
      <w:r>
        <w:rPr>
          <w:rFonts w:ascii="Times New Roman"/>
          <w:b w:val="false"/>
          <w:i w:val="false"/>
          <w:color w:val="000000"/>
          <w:sz w:val="28"/>
        </w:rPr>
        <w:t>
      Ұ.С.Сәдібеков</w:t>
      </w:r>
    </w:p>
    <w:p>
      <w:pPr>
        <w:spacing w:after="0"/>
        <w:ind w:left="0"/>
        <w:jc w:val="both"/>
      </w:pPr>
      <w:r>
        <w:rPr>
          <w:rFonts w:ascii="Times New Roman"/>
          <w:b w:val="false"/>
          <w:i w:val="false"/>
          <w:color w:val="000000"/>
          <w:sz w:val="28"/>
        </w:rPr>
        <w:t>
      А.С.Сабитов</w:t>
      </w:r>
    </w:p>
    <w:p>
      <w:pPr>
        <w:spacing w:after="0"/>
        <w:ind w:left="0"/>
        <w:jc w:val="both"/>
      </w:pPr>
      <w:r>
        <w:rPr>
          <w:rFonts w:ascii="Times New Roman"/>
          <w:b w:val="false"/>
          <w:i w:val="false"/>
          <w:color w:val="000000"/>
          <w:sz w:val="28"/>
        </w:rPr>
        <w:t>
      К.Н.Мендебаев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 "24"</w:t>
            </w:r>
            <w:r>
              <w:br/>
            </w:r>
            <w:r>
              <w:rPr>
                <w:rFonts w:ascii="Times New Roman"/>
                <w:b w:val="false"/>
                <w:i w:val="false"/>
                <w:color w:val="000000"/>
                <w:sz w:val="20"/>
              </w:rPr>
              <w:t>шілде № 200 қаулысына</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Су нысандарының су қорғау аймақтары мен белдеулері</w:t>
      </w:r>
    </w:p>
    <w:p>
      <w:pPr>
        <w:spacing w:after="0"/>
        <w:ind w:left="0"/>
        <w:jc w:val="both"/>
      </w:pPr>
      <w:r>
        <w:rPr>
          <w:rFonts w:ascii="Times New Roman"/>
          <w:b w:val="false"/>
          <w:i w:val="false"/>
          <w:color w:val="ff0000"/>
          <w:sz w:val="28"/>
        </w:rPr>
        <w:t xml:space="preserve">
      Ескерту. 1-қосымша жаңа редакцияда - Түркістан облысы әкiмдiгiнiң 10.11.2022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Түркістан облысы әкiмдiгiнiң 26.01.2023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Түркістан облысы әкiмдiгiнiң 03.09.2024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12.12.2024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нысандарының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белдеулерінің ұзындығы,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w:t>
            </w:r>
          </w:p>
          <w:p>
            <w:pPr>
              <w:spacing w:after="20"/>
              <w:ind w:left="20"/>
              <w:jc w:val="both"/>
            </w:pPr>
            <w:r>
              <w:rPr>
                <w:rFonts w:ascii="Times New Roman"/>
                <w:b w:val="false"/>
                <w:i w:val="false"/>
                <w:color w:val="000000"/>
                <w:sz w:val="20"/>
              </w:rPr>
              <w:t xml:space="preserve">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Сайрам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Шәуілдір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Қызқұдық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Қамыссалдысай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Құрық-келес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Құрықкелес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Қарағашты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Қаржантақсай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Құртұрған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Көмеш 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Құтырған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Бала-Боралдай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Балабөген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Жетіқұдық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Кабумая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Қантағы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Ораңғай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Кантаги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Ораңғай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Манглай-Қызылсай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Қапатты-Қызылсай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Қамышшы-сай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Кезентас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Ақбетсай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Шымырбексай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Көкбұлақ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Дудаба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Аулысуит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Ортасүт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Аясуит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Ұзынқұдық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Көксу-шаян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Шаянқұрықсай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Шауқсай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Көкқия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Яны-Курган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Желбұлақсай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Жалпақсусай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Құрлыбайсай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Қорданбайсай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Кеземшексай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Сымбыла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Мырзагелді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Мыңшабыр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Шылбыр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Шамқалақ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Аширбайсай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Басынгу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Елбексай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Төбеқұдық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0-2 – 100 ПК 2-13 – 35 Оң жағалау: ПК 0-2 – 100 ПК 2-13 - 35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0-1 – 500 ПК 2 – 350 ПК 3 – 500 ПК 4 – 550 ПК 5-9 – 500 ПК 10 – 450 ПК 11 – 400 ПК 12 – 300 ПК 13-14 – 450 ПК 15-27 – 500 Оң жағалау: ПК 0-1 – 600 ПК 2 – 600 ПК 3 – 500 ПК 4 -550 ПК 5 – 600 ПК 6 – 500 ПК 7 – 400 ПК 8 – 500 ПК 9 – 450 ПК 10-27 –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жағалау: ПК 0-6 – 35 ПК 7-14 – 55 ПК 15-18 – 70 ПК 19-27 – 100 Оң жағалау: ПК 0-6 – 35 ПК 7-14 – 55 ПК 15-18 – 70 ПК 19-27 - 100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 – 500 ПК 2-12 – 500 Оң жағалау:</w:t>
            </w:r>
          </w:p>
          <w:p>
            <w:pPr>
              <w:spacing w:after="20"/>
              <w:ind w:left="20"/>
              <w:jc w:val="both"/>
            </w:pPr>
            <w:r>
              <w:rPr>
                <w:rFonts w:ascii="Times New Roman"/>
                <w:b w:val="false"/>
                <w:i w:val="false"/>
                <w:color w:val="000000"/>
                <w:sz w:val="20"/>
              </w:rPr>
              <w:t>
ПК 1 – 500 ПК 2 – 500 ПК 3 – 550 ПК 4-6 – 500 ПК 7-10 – 250 ПК 11-12 –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 – 100 ПК 2-12 – 35 Оң жағалау: ПК 1 – 100 ПК 2-10 – 35 ПК 11-12 –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1-4 – 500 ПК 4-10 – 600 ПК 10-12 – 500 ПК 12-15 – 600 ПК 15-24 – 500 ПК 24-25 - 600 Оң жағалау: ПК 0-8 – 500 ПК 8-10 – 600 ПК 10-11 – 500 ПК 11-14 – 600 ПК 14-17 – 500 ПК 17-25 –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0-4 – 35 ПК 4-9 – 100 ПК 9-10 – 35 ПК 10-12 – 55 ПК 12-14 – 100 ПК 14-16 – 55 ПК 16-24 – 35 ПК 24-25 – 100 Оң жағалау: ПК 1-8 – 35 ПК 8-10 – 100 ПК 10-11 – 35 ПК 11-14 – 100 ПК 14-17 – 35 ПК 17-25 - 100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Жібек-жолы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0-7 – 500 ПК 7-8 – 600 ПК 8-10 – 500 Оң жағалау: ПК 0-1 – 450 ПК 1-2 – 500 ПК 2 – 450 ПК 2-7 – 500 ПК 7-8 – 270 ПК 8-10 - 500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0-10 – 100 Оң жағалау: ПК 0-10 - 35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0-7 – 500</w:t>
            </w:r>
          </w:p>
          <w:p>
            <w:pPr>
              <w:spacing w:after="20"/>
              <w:ind w:left="20"/>
              <w:jc w:val="both"/>
            </w:pPr>
            <w:r>
              <w:rPr>
                <w:rFonts w:ascii="Times New Roman"/>
                <w:b w:val="false"/>
                <w:i w:val="false"/>
                <w:color w:val="000000"/>
                <w:sz w:val="20"/>
              </w:rPr>
              <w:t>
ПК 8 – 350</w:t>
            </w:r>
          </w:p>
          <w:p>
            <w:pPr>
              <w:spacing w:after="20"/>
              <w:ind w:left="20"/>
              <w:jc w:val="both"/>
            </w:pPr>
            <w:r>
              <w:rPr>
                <w:rFonts w:ascii="Times New Roman"/>
                <w:b w:val="false"/>
                <w:i w:val="false"/>
                <w:color w:val="000000"/>
                <w:sz w:val="20"/>
              </w:rPr>
              <w:t>
ПК 9 – 400</w:t>
            </w:r>
          </w:p>
          <w:p>
            <w:pPr>
              <w:spacing w:after="20"/>
              <w:ind w:left="20"/>
              <w:jc w:val="both"/>
            </w:pPr>
            <w:r>
              <w:rPr>
                <w:rFonts w:ascii="Times New Roman"/>
                <w:b w:val="false"/>
                <w:i w:val="false"/>
                <w:color w:val="000000"/>
                <w:sz w:val="20"/>
              </w:rPr>
              <w:t>
ПК 10 – 350</w:t>
            </w:r>
          </w:p>
          <w:p>
            <w:pPr>
              <w:spacing w:after="20"/>
              <w:ind w:left="20"/>
              <w:jc w:val="both"/>
            </w:pPr>
            <w:r>
              <w:rPr>
                <w:rFonts w:ascii="Times New Roman"/>
                <w:b w:val="false"/>
                <w:i w:val="false"/>
                <w:color w:val="000000"/>
                <w:sz w:val="20"/>
              </w:rPr>
              <w:t>
ПК 11-13 – 500</w:t>
            </w:r>
          </w:p>
          <w:p>
            <w:pPr>
              <w:spacing w:after="20"/>
              <w:ind w:left="20"/>
              <w:jc w:val="both"/>
            </w:pPr>
            <w:r>
              <w:rPr>
                <w:rFonts w:ascii="Times New Roman"/>
                <w:b w:val="false"/>
                <w:i w:val="false"/>
                <w:color w:val="000000"/>
                <w:sz w:val="20"/>
              </w:rPr>
              <w:t>
ПК 14 – 400</w:t>
            </w:r>
          </w:p>
          <w:p>
            <w:pPr>
              <w:spacing w:after="20"/>
              <w:ind w:left="20"/>
              <w:jc w:val="both"/>
            </w:pPr>
            <w:r>
              <w:rPr>
                <w:rFonts w:ascii="Times New Roman"/>
                <w:b w:val="false"/>
                <w:i w:val="false"/>
                <w:color w:val="000000"/>
                <w:sz w:val="20"/>
              </w:rPr>
              <w:t>
ПК 15 – 250</w:t>
            </w:r>
          </w:p>
          <w:p>
            <w:pPr>
              <w:spacing w:after="20"/>
              <w:ind w:left="20"/>
              <w:jc w:val="both"/>
            </w:pPr>
            <w:r>
              <w:rPr>
                <w:rFonts w:ascii="Times New Roman"/>
                <w:b w:val="false"/>
                <w:i w:val="false"/>
                <w:color w:val="000000"/>
                <w:sz w:val="20"/>
              </w:rPr>
              <w:t>
ПК 16 – 350</w:t>
            </w:r>
          </w:p>
          <w:p>
            <w:pPr>
              <w:spacing w:after="20"/>
              <w:ind w:left="20"/>
              <w:jc w:val="both"/>
            </w:pPr>
            <w:r>
              <w:rPr>
                <w:rFonts w:ascii="Times New Roman"/>
                <w:b w:val="false"/>
                <w:i w:val="false"/>
                <w:color w:val="000000"/>
                <w:sz w:val="20"/>
              </w:rPr>
              <w:t>
ПК 17 – 400</w:t>
            </w:r>
          </w:p>
          <w:p>
            <w:pPr>
              <w:spacing w:after="20"/>
              <w:ind w:left="20"/>
              <w:jc w:val="both"/>
            </w:pPr>
            <w:r>
              <w:rPr>
                <w:rFonts w:ascii="Times New Roman"/>
                <w:b w:val="false"/>
                <w:i w:val="false"/>
                <w:color w:val="000000"/>
                <w:sz w:val="20"/>
              </w:rPr>
              <w:t>
ПК 18 – 500</w:t>
            </w:r>
          </w:p>
          <w:p>
            <w:pPr>
              <w:spacing w:after="20"/>
              <w:ind w:left="20"/>
              <w:jc w:val="both"/>
            </w:pPr>
            <w:r>
              <w:rPr>
                <w:rFonts w:ascii="Times New Roman"/>
                <w:b w:val="false"/>
                <w:i w:val="false"/>
                <w:color w:val="000000"/>
                <w:sz w:val="20"/>
              </w:rPr>
              <w:t>
ПК 19 – 450</w:t>
            </w:r>
          </w:p>
          <w:p>
            <w:pPr>
              <w:spacing w:after="20"/>
              <w:ind w:left="20"/>
              <w:jc w:val="both"/>
            </w:pPr>
            <w:r>
              <w:rPr>
                <w:rFonts w:ascii="Times New Roman"/>
                <w:b w:val="false"/>
                <w:i w:val="false"/>
                <w:color w:val="000000"/>
                <w:sz w:val="20"/>
              </w:rPr>
              <w:t>
ПК 20 – 350</w:t>
            </w:r>
          </w:p>
          <w:p>
            <w:pPr>
              <w:spacing w:after="20"/>
              <w:ind w:left="20"/>
              <w:jc w:val="both"/>
            </w:pPr>
            <w:r>
              <w:rPr>
                <w:rFonts w:ascii="Times New Roman"/>
                <w:b w:val="false"/>
                <w:i w:val="false"/>
                <w:color w:val="000000"/>
                <w:sz w:val="20"/>
              </w:rPr>
              <w:t>
ПК 21 – 500</w:t>
            </w:r>
          </w:p>
          <w:p>
            <w:pPr>
              <w:spacing w:after="20"/>
              <w:ind w:left="20"/>
              <w:jc w:val="both"/>
            </w:pPr>
            <w:r>
              <w:rPr>
                <w:rFonts w:ascii="Times New Roman"/>
                <w:b w:val="false"/>
                <w:i w:val="false"/>
                <w:color w:val="000000"/>
                <w:sz w:val="20"/>
              </w:rPr>
              <w:t>
ПК 22 – 400</w:t>
            </w:r>
          </w:p>
          <w:p>
            <w:pPr>
              <w:spacing w:after="20"/>
              <w:ind w:left="20"/>
              <w:jc w:val="both"/>
            </w:pPr>
            <w:r>
              <w:rPr>
                <w:rFonts w:ascii="Times New Roman"/>
                <w:b w:val="false"/>
                <w:i w:val="false"/>
                <w:color w:val="000000"/>
                <w:sz w:val="20"/>
              </w:rPr>
              <w:t>
ПК 23 – 350</w:t>
            </w:r>
          </w:p>
          <w:p>
            <w:pPr>
              <w:spacing w:after="20"/>
              <w:ind w:left="20"/>
              <w:jc w:val="both"/>
            </w:pPr>
            <w:r>
              <w:rPr>
                <w:rFonts w:ascii="Times New Roman"/>
                <w:b w:val="false"/>
                <w:i w:val="false"/>
                <w:color w:val="000000"/>
                <w:sz w:val="20"/>
              </w:rPr>
              <w:t>
ПК 24 – 400</w:t>
            </w:r>
          </w:p>
          <w:p>
            <w:pPr>
              <w:spacing w:after="20"/>
              <w:ind w:left="20"/>
              <w:jc w:val="both"/>
            </w:pPr>
            <w:r>
              <w:rPr>
                <w:rFonts w:ascii="Times New Roman"/>
                <w:b w:val="false"/>
                <w:i w:val="false"/>
                <w:color w:val="000000"/>
                <w:sz w:val="20"/>
              </w:rPr>
              <w:t>
ПК 25 – 500</w:t>
            </w:r>
          </w:p>
          <w:p>
            <w:pPr>
              <w:spacing w:after="20"/>
              <w:ind w:left="20"/>
              <w:jc w:val="both"/>
            </w:pPr>
            <w:r>
              <w:rPr>
                <w:rFonts w:ascii="Times New Roman"/>
                <w:b w:val="false"/>
                <w:i w:val="false"/>
                <w:color w:val="000000"/>
                <w:sz w:val="20"/>
              </w:rPr>
              <w:t>
ПК 26-27 – 500</w:t>
            </w:r>
          </w:p>
          <w:p>
            <w:pPr>
              <w:spacing w:after="20"/>
              <w:ind w:left="20"/>
              <w:jc w:val="both"/>
            </w:pPr>
            <w:r>
              <w:rPr>
                <w:rFonts w:ascii="Times New Roman"/>
                <w:b w:val="false"/>
                <w:i w:val="false"/>
                <w:color w:val="000000"/>
                <w:sz w:val="20"/>
              </w:rPr>
              <w:t>
ПК 28 – 800</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 – 500</w:t>
            </w:r>
          </w:p>
          <w:p>
            <w:pPr>
              <w:spacing w:after="20"/>
              <w:ind w:left="20"/>
              <w:jc w:val="both"/>
            </w:pPr>
            <w:r>
              <w:rPr>
                <w:rFonts w:ascii="Times New Roman"/>
                <w:b w:val="false"/>
                <w:i w:val="false"/>
                <w:color w:val="000000"/>
                <w:sz w:val="20"/>
              </w:rPr>
              <w:t>
ПК 2 – 500</w:t>
            </w:r>
          </w:p>
          <w:p>
            <w:pPr>
              <w:spacing w:after="20"/>
              <w:ind w:left="20"/>
              <w:jc w:val="both"/>
            </w:pPr>
            <w:r>
              <w:rPr>
                <w:rFonts w:ascii="Times New Roman"/>
                <w:b w:val="false"/>
                <w:i w:val="false"/>
                <w:color w:val="000000"/>
                <w:sz w:val="20"/>
              </w:rPr>
              <w:t>
ПК 3 – 350</w:t>
            </w:r>
          </w:p>
          <w:p>
            <w:pPr>
              <w:spacing w:after="20"/>
              <w:ind w:left="20"/>
              <w:jc w:val="both"/>
            </w:pPr>
            <w:r>
              <w:rPr>
                <w:rFonts w:ascii="Times New Roman"/>
                <w:b w:val="false"/>
                <w:i w:val="false"/>
                <w:color w:val="000000"/>
                <w:sz w:val="20"/>
              </w:rPr>
              <w:t>
ПК 4 – 450</w:t>
            </w:r>
          </w:p>
          <w:p>
            <w:pPr>
              <w:spacing w:after="20"/>
              <w:ind w:left="20"/>
              <w:jc w:val="both"/>
            </w:pPr>
            <w:r>
              <w:rPr>
                <w:rFonts w:ascii="Times New Roman"/>
                <w:b w:val="false"/>
                <w:i w:val="false"/>
                <w:color w:val="000000"/>
                <w:sz w:val="20"/>
              </w:rPr>
              <w:t>
ПК 5-7 – 500</w:t>
            </w:r>
          </w:p>
          <w:p>
            <w:pPr>
              <w:spacing w:after="20"/>
              <w:ind w:left="20"/>
              <w:jc w:val="both"/>
            </w:pPr>
            <w:r>
              <w:rPr>
                <w:rFonts w:ascii="Times New Roman"/>
                <w:b w:val="false"/>
                <w:i w:val="false"/>
                <w:color w:val="000000"/>
                <w:sz w:val="20"/>
              </w:rPr>
              <w:t>
ПК 8-9 – 250</w:t>
            </w:r>
          </w:p>
          <w:p>
            <w:pPr>
              <w:spacing w:after="20"/>
              <w:ind w:left="20"/>
              <w:jc w:val="both"/>
            </w:pPr>
            <w:r>
              <w:rPr>
                <w:rFonts w:ascii="Times New Roman"/>
                <w:b w:val="false"/>
                <w:i w:val="false"/>
                <w:color w:val="000000"/>
                <w:sz w:val="20"/>
              </w:rPr>
              <w:t>
ПК 10 – 400</w:t>
            </w:r>
          </w:p>
          <w:p>
            <w:pPr>
              <w:spacing w:after="20"/>
              <w:ind w:left="20"/>
              <w:jc w:val="both"/>
            </w:pPr>
            <w:r>
              <w:rPr>
                <w:rFonts w:ascii="Times New Roman"/>
                <w:b w:val="false"/>
                <w:i w:val="false"/>
                <w:color w:val="000000"/>
                <w:sz w:val="20"/>
              </w:rPr>
              <w:t>
ПК 11 – 450</w:t>
            </w:r>
          </w:p>
          <w:p>
            <w:pPr>
              <w:spacing w:after="20"/>
              <w:ind w:left="20"/>
              <w:jc w:val="both"/>
            </w:pPr>
            <w:r>
              <w:rPr>
                <w:rFonts w:ascii="Times New Roman"/>
                <w:b w:val="false"/>
                <w:i w:val="false"/>
                <w:color w:val="000000"/>
                <w:sz w:val="20"/>
              </w:rPr>
              <w:t>
ПК 12-13 – 500</w:t>
            </w:r>
          </w:p>
          <w:p>
            <w:pPr>
              <w:spacing w:after="20"/>
              <w:ind w:left="20"/>
              <w:jc w:val="both"/>
            </w:pPr>
            <w:r>
              <w:rPr>
                <w:rFonts w:ascii="Times New Roman"/>
                <w:b w:val="false"/>
                <w:i w:val="false"/>
                <w:color w:val="000000"/>
                <w:sz w:val="20"/>
              </w:rPr>
              <w:t>
ПК 14 – 200</w:t>
            </w:r>
          </w:p>
          <w:p>
            <w:pPr>
              <w:spacing w:after="20"/>
              <w:ind w:left="20"/>
              <w:jc w:val="both"/>
            </w:pPr>
            <w:r>
              <w:rPr>
                <w:rFonts w:ascii="Times New Roman"/>
                <w:b w:val="false"/>
                <w:i w:val="false"/>
                <w:color w:val="000000"/>
                <w:sz w:val="20"/>
              </w:rPr>
              <w:t>
ПК 15 – 500</w:t>
            </w:r>
          </w:p>
          <w:p>
            <w:pPr>
              <w:spacing w:after="20"/>
              <w:ind w:left="20"/>
              <w:jc w:val="both"/>
            </w:pPr>
            <w:r>
              <w:rPr>
                <w:rFonts w:ascii="Times New Roman"/>
                <w:b w:val="false"/>
                <w:i w:val="false"/>
                <w:color w:val="000000"/>
                <w:sz w:val="20"/>
              </w:rPr>
              <w:t>
ПК 16 – 400</w:t>
            </w:r>
          </w:p>
          <w:p>
            <w:pPr>
              <w:spacing w:after="20"/>
              <w:ind w:left="20"/>
              <w:jc w:val="both"/>
            </w:pPr>
            <w:r>
              <w:rPr>
                <w:rFonts w:ascii="Times New Roman"/>
                <w:b w:val="false"/>
                <w:i w:val="false"/>
                <w:color w:val="000000"/>
                <w:sz w:val="20"/>
              </w:rPr>
              <w:t>
ПК 17 – 750</w:t>
            </w:r>
          </w:p>
          <w:p>
            <w:pPr>
              <w:spacing w:after="20"/>
              <w:ind w:left="20"/>
              <w:jc w:val="both"/>
            </w:pPr>
            <w:r>
              <w:rPr>
                <w:rFonts w:ascii="Times New Roman"/>
                <w:b w:val="false"/>
                <w:i w:val="false"/>
                <w:color w:val="000000"/>
                <w:sz w:val="20"/>
              </w:rPr>
              <w:t>
ПК 18 – 500</w:t>
            </w:r>
          </w:p>
          <w:p>
            <w:pPr>
              <w:spacing w:after="20"/>
              <w:ind w:left="20"/>
              <w:jc w:val="both"/>
            </w:pPr>
            <w:r>
              <w:rPr>
                <w:rFonts w:ascii="Times New Roman"/>
                <w:b w:val="false"/>
                <w:i w:val="false"/>
                <w:color w:val="000000"/>
                <w:sz w:val="20"/>
              </w:rPr>
              <w:t>
ПК 19 – 400</w:t>
            </w:r>
          </w:p>
          <w:p>
            <w:pPr>
              <w:spacing w:after="20"/>
              <w:ind w:left="20"/>
              <w:jc w:val="both"/>
            </w:pPr>
            <w:r>
              <w:rPr>
                <w:rFonts w:ascii="Times New Roman"/>
                <w:b w:val="false"/>
                <w:i w:val="false"/>
                <w:color w:val="000000"/>
                <w:sz w:val="20"/>
              </w:rPr>
              <w:t>
ПК 20 – 250</w:t>
            </w:r>
          </w:p>
          <w:p>
            <w:pPr>
              <w:spacing w:after="20"/>
              <w:ind w:left="20"/>
              <w:jc w:val="both"/>
            </w:pPr>
            <w:r>
              <w:rPr>
                <w:rFonts w:ascii="Times New Roman"/>
                <w:b w:val="false"/>
                <w:i w:val="false"/>
                <w:color w:val="000000"/>
                <w:sz w:val="20"/>
              </w:rPr>
              <w:t>
ПК 21 – 350</w:t>
            </w:r>
          </w:p>
          <w:p>
            <w:pPr>
              <w:spacing w:after="20"/>
              <w:ind w:left="20"/>
              <w:jc w:val="both"/>
            </w:pPr>
            <w:r>
              <w:rPr>
                <w:rFonts w:ascii="Times New Roman"/>
                <w:b w:val="false"/>
                <w:i w:val="false"/>
                <w:color w:val="000000"/>
                <w:sz w:val="20"/>
              </w:rPr>
              <w:t>
ПК 22 – 500</w:t>
            </w:r>
          </w:p>
          <w:p>
            <w:pPr>
              <w:spacing w:after="20"/>
              <w:ind w:left="20"/>
              <w:jc w:val="both"/>
            </w:pPr>
            <w:r>
              <w:rPr>
                <w:rFonts w:ascii="Times New Roman"/>
                <w:b w:val="false"/>
                <w:i w:val="false"/>
                <w:color w:val="000000"/>
                <w:sz w:val="20"/>
              </w:rPr>
              <w:t>
ПК 23-24 – 400</w:t>
            </w:r>
          </w:p>
          <w:p>
            <w:pPr>
              <w:spacing w:after="20"/>
              <w:ind w:left="20"/>
              <w:jc w:val="both"/>
            </w:pPr>
            <w:r>
              <w:rPr>
                <w:rFonts w:ascii="Times New Roman"/>
                <w:b w:val="false"/>
                <w:i w:val="false"/>
                <w:color w:val="000000"/>
                <w:sz w:val="20"/>
              </w:rPr>
              <w:t>
ПК 25-26 – 500</w:t>
            </w:r>
          </w:p>
          <w:p>
            <w:pPr>
              <w:spacing w:after="20"/>
              <w:ind w:left="20"/>
              <w:jc w:val="both"/>
            </w:pPr>
            <w:r>
              <w:rPr>
                <w:rFonts w:ascii="Times New Roman"/>
                <w:b w:val="false"/>
                <w:i w:val="false"/>
                <w:color w:val="000000"/>
                <w:sz w:val="20"/>
              </w:rPr>
              <w:t>
ПК 27 – 500</w:t>
            </w:r>
          </w:p>
          <w:p>
            <w:pPr>
              <w:spacing w:after="20"/>
              <w:ind w:left="20"/>
              <w:jc w:val="both"/>
            </w:pPr>
            <w:r>
              <w:rPr>
                <w:rFonts w:ascii="Times New Roman"/>
                <w:b w:val="false"/>
                <w:i w:val="false"/>
                <w:color w:val="000000"/>
                <w:sz w:val="20"/>
              </w:rPr>
              <w:t>
ПК 28 –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0-7 – 35</w:t>
            </w:r>
          </w:p>
          <w:p>
            <w:pPr>
              <w:spacing w:after="20"/>
              <w:ind w:left="20"/>
              <w:jc w:val="both"/>
            </w:pPr>
            <w:r>
              <w:rPr>
                <w:rFonts w:ascii="Times New Roman"/>
                <w:b w:val="false"/>
                <w:i w:val="false"/>
                <w:color w:val="000000"/>
                <w:sz w:val="20"/>
              </w:rPr>
              <w:t>
ПК 8-17 – 100</w:t>
            </w:r>
          </w:p>
          <w:p>
            <w:pPr>
              <w:spacing w:after="20"/>
              <w:ind w:left="20"/>
              <w:jc w:val="both"/>
            </w:pPr>
            <w:r>
              <w:rPr>
                <w:rFonts w:ascii="Times New Roman"/>
                <w:b w:val="false"/>
                <w:i w:val="false"/>
                <w:color w:val="000000"/>
                <w:sz w:val="20"/>
              </w:rPr>
              <w:t>
ПК 18-28 – 35</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 – 35</w:t>
            </w:r>
          </w:p>
          <w:p>
            <w:pPr>
              <w:spacing w:after="20"/>
              <w:ind w:left="20"/>
              <w:jc w:val="both"/>
            </w:pPr>
            <w:r>
              <w:rPr>
                <w:rFonts w:ascii="Times New Roman"/>
                <w:b w:val="false"/>
                <w:i w:val="false"/>
                <w:color w:val="000000"/>
                <w:sz w:val="20"/>
              </w:rPr>
              <w:t>
ПК 2-15 – 100</w:t>
            </w:r>
          </w:p>
          <w:p>
            <w:pPr>
              <w:spacing w:after="20"/>
              <w:ind w:left="20"/>
              <w:jc w:val="both"/>
            </w:pPr>
            <w:r>
              <w:rPr>
                <w:rFonts w:ascii="Times New Roman"/>
                <w:b w:val="false"/>
                <w:i w:val="false"/>
                <w:color w:val="000000"/>
                <w:sz w:val="20"/>
              </w:rPr>
              <w:t>
ПК 16-28 - 35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Төрткөл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0-2 – 100 ПК 3-4 – 100 ПК 5-9 – 100 Оң жағалау: ПК 0-2 – 100 ПК 3-4 – 35 ПК 5-9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 – 500 ПК 2-10 – 250 Оң жағалау: ПК 1 – 500 ПК 2-10 –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 – 100 ПК 2-10 – 35 Оң жағалау: ПК 1 – 100 ПК 2-10 - 35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0-3 – 250 ПК 3-10 – 500 ПК 10-12 – 250 ПК 12-20 – 500 Оң жағалау: ПК 0-3 – 250 ПК 3-12 – 500 ПК 12-14 – 250 ПК 14-15 – 500 ПК 15-16 – 250 ПК 16-18 – 500 ПК 18-20 –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0-3 – 35 ПК 3-5 – 100 ПК 5-20 – 35 Оң жағалау: ПК 0-20 - 35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Доңғызтау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0-1 – 600 ПК 1-6 – 500 ПК 6-7 – 300 ПК 7-9 – 400 ПК 9-11 – 500 ПК 11-12 – 600 ПК 12-13 – 400 ПК 13-23 – 500 Оң жағалау: ПК 0-1 – 600 ПК 1-23 - 500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0-1 – 100 ПК 1-9 – 35 ПК 9-10 – 75 ПК 10-17 – 35 ПК 17-19 – 75 ПК 19-23 – 55 Оң жағалау: ПК 0-1 – 100 ПК 19-23 - 55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Біріншімамыр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0-7 – 500</w:t>
            </w:r>
          </w:p>
          <w:p>
            <w:pPr>
              <w:spacing w:after="20"/>
              <w:ind w:left="20"/>
              <w:jc w:val="both"/>
            </w:pPr>
            <w:r>
              <w:rPr>
                <w:rFonts w:ascii="Times New Roman"/>
                <w:b w:val="false"/>
                <w:i w:val="false"/>
                <w:color w:val="000000"/>
                <w:sz w:val="20"/>
              </w:rPr>
              <w:t>
ПК 8 – 450</w:t>
            </w:r>
          </w:p>
          <w:p>
            <w:pPr>
              <w:spacing w:after="20"/>
              <w:ind w:left="20"/>
              <w:jc w:val="both"/>
            </w:pPr>
            <w:r>
              <w:rPr>
                <w:rFonts w:ascii="Times New Roman"/>
                <w:b w:val="false"/>
                <w:i w:val="false"/>
                <w:color w:val="000000"/>
                <w:sz w:val="20"/>
              </w:rPr>
              <w:t>
ПК 9-12 – 500</w:t>
            </w:r>
          </w:p>
          <w:p>
            <w:pPr>
              <w:spacing w:after="20"/>
              <w:ind w:left="20"/>
              <w:jc w:val="both"/>
            </w:pPr>
            <w:r>
              <w:rPr>
                <w:rFonts w:ascii="Times New Roman"/>
                <w:b w:val="false"/>
                <w:i w:val="false"/>
                <w:color w:val="000000"/>
                <w:sz w:val="20"/>
              </w:rPr>
              <w:t>
ПК 13 – 450</w:t>
            </w:r>
          </w:p>
          <w:p>
            <w:pPr>
              <w:spacing w:after="20"/>
              <w:ind w:left="20"/>
              <w:jc w:val="both"/>
            </w:pPr>
            <w:r>
              <w:rPr>
                <w:rFonts w:ascii="Times New Roman"/>
                <w:b w:val="false"/>
                <w:i w:val="false"/>
                <w:color w:val="000000"/>
                <w:sz w:val="20"/>
              </w:rPr>
              <w:t>
ПК 14 – 300</w:t>
            </w:r>
          </w:p>
          <w:p>
            <w:pPr>
              <w:spacing w:after="20"/>
              <w:ind w:left="20"/>
              <w:jc w:val="both"/>
            </w:pPr>
            <w:r>
              <w:rPr>
                <w:rFonts w:ascii="Times New Roman"/>
                <w:b w:val="false"/>
                <w:i w:val="false"/>
                <w:color w:val="000000"/>
                <w:sz w:val="20"/>
              </w:rPr>
              <w:t>
ПК 15 – 350</w:t>
            </w:r>
          </w:p>
          <w:p>
            <w:pPr>
              <w:spacing w:after="20"/>
              <w:ind w:left="20"/>
              <w:jc w:val="both"/>
            </w:pPr>
            <w:r>
              <w:rPr>
                <w:rFonts w:ascii="Times New Roman"/>
                <w:b w:val="false"/>
                <w:i w:val="false"/>
                <w:color w:val="000000"/>
                <w:sz w:val="20"/>
              </w:rPr>
              <w:t>
ПК 16 – 450</w:t>
            </w:r>
          </w:p>
          <w:p>
            <w:pPr>
              <w:spacing w:after="20"/>
              <w:ind w:left="20"/>
              <w:jc w:val="both"/>
            </w:pPr>
            <w:r>
              <w:rPr>
                <w:rFonts w:ascii="Times New Roman"/>
                <w:b w:val="false"/>
                <w:i w:val="false"/>
                <w:color w:val="000000"/>
                <w:sz w:val="20"/>
              </w:rPr>
              <w:t>
ПК 17-23 – 500</w:t>
            </w:r>
          </w:p>
          <w:p>
            <w:pPr>
              <w:spacing w:after="20"/>
              <w:ind w:left="20"/>
              <w:jc w:val="both"/>
            </w:pPr>
            <w:r>
              <w:rPr>
                <w:rFonts w:ascii="Times New Roman"/>
                <w:b w:val="false"/>
                <w:i w:val="false"/>
                <w:color w:val="000000"/>
                <w:sz w:val="20"/>
              </w:rPr>
              <w:t>
ПК 24 – 450</w:t>
            </w:r>
          </w:p>
          <w:p>
            <w:pPr>
              <w:spacing w:after="20"/>
              <w:ind w:left="20"/>
              <w:jc w:val="both"/>
            </w:pPr>
            <w:r>
              <w:rPr>
                <w:rFonts w:ascii="Times New Roman"/>
                <w:b w:val="false"/>
                <w:i w:val="false"/>
                <w:color w:val="000000"/>
                <w:sz w:val="20"/>
              </w:rPr>
              <w:t>
ПК 25-36 – 500</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0-4 – 500</w:t>
            </w:r>
          </w:p>
          <w:p>
            <w:pPr>
              <w:spacing w:after="20"/>
              <w:ind w:left="20"/>
              <w:jc w:val="both"/>
            </w:pPr>
            <w:r>
              <w:rPr>
                <w:rFonts w:ascii="Times New Roman"/>
                <w:b w:val="false"/>
                <w:i w:val="false"/>
                <w:color w:val="000000"/>
                <w:sz w:val="20"/>
              </w:rPr>
              <w:t>
ПК 5-6 – 350</w:t>
            </w:r>
          </w:p>
          <w:p>
            <w:pPr>
              <w:spacing w:after="20"/>
              <w:ind w:left="20"/>
              <w:jc w:val="both"/>
            </w:pPr>
            <w:r>
              <w:rPr>
                <w:rFonts w:ascii="Times New Roman"/>
                <w:b w:val="false"/>
                <w:i w:val="false"/>
                <w:color w:val="000000"/>
                <w:sz w:val="20"/>
              </w:rPr>
              <w:t>
ПК 7 – 250</w:t>
            </w:r>
          </w:p>
          <w:p>
            <w:pPr>
              <w:spacing w:after="20"/>
              <w:ind w:left="20"/>
              <w:jc w:val="both"/>
            </w:pPr>
            <w:r>
              <w:rPr>
                <w:rFonts w:ascii="Times New Roman"/>
                <w:b w:val="false"/>
                <w:i w:val="false"/>
                <w:color w:val="000000"/>
                <w:sz w:val="20"/>
              </w:rPr>
              <w:t>
ПК 8 – 350</w:t>
            </w:r>
          </w:p>
          <w:p>
            <w:pPr>
              <w:spacing w:after="20"/>
              <w:ind w:left="20"/>
              <w:jc w:val="both"/>
            </w:pPr>
            <w:r>
              <w:rPr>
                <w:rFonts w:ascii="Times New Roman"/>
                <w:b w:val="false"/>
                <w:i w:val="false"/>
                <w:color w:val="000000"/>
                <w:sz w:val="20"/>
              </w:rPr>
              <w:t>
ПК 9-17 – 500</w:t>
            </w:r>
          </w:p>
          <w:p>
            <w:pPr>
              <w:spacing w:after="20"/>
              <w:ind w:left="20"/>
              <w:jc w:val="both"/>
            </w:pPr>
            <w:r>
              <w:rPr>
                <w:rFonts w:ascii="Times New Roman"/>
                <w:b w:val="false"/>
                <w:i w:val="false"/>
                <w:color w:val="000000"/>
                <w:sz w:val="20"/>
              </w:rPr>
              <w:t>
ПК 18 – 450</w:t>
            </w:r>
          </w:p>
          <w:p>
            <w:pPr>
              <w:spacing w:after="20"/>
              <w:ind w:left="20"/>
              <w:jc w:val="both"/>
            </w:pPr>
            <w:r>
              <w:rPr>
                <w:rFonts w:ascii="Times New Roman"/>
                <w:b w:val="false"/>
                <w:i w:val="false"/>
                <w:color w:val="000000"/>
                <w:sz w:val="20"/>
              </w:rPr>
              <w:t>
ПК 19-23 – 500</w:t>
            </w:r>
          </w:p>
          <w:p>
            <w:pPr>
              <w:spacing w:after="20"/>
              <w:ind w:left="20"/>
              <w:jc w:val="both"/>
            </w:pPr>
            <w:r>
              <w:rPr>
                <w:rFonts w:ascii="Times New Roman"/>
                <w:b w:val="false"/>
                <w:i w:val="false"/>
                <w:color w:val="000000"/>
                <w:sz w:val="20"/>
              </w:rPr>
              <w:t>
ПК 24 – 450</w:t>
            </w:r>
          </w:p>
          <w:p>
            <w:pPr>
              <w:spacing w:after="20"/>
              <w:ind w:left="20"/>
              <w:jc w:val="both"/>
            </w:pPr>
            <w:r>
              <w:rPr>
                <w:rFonts w:ascii="Times New Roman"/>
                <w:b w:val="false"/>
                <w:i w:val="false"/>
                <w:color w:val="000000"/>
                <w:sz w:val="20"/>
              </w:rPr>
              <w:t>
ПК 25-36 –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0-4 – 35</w:t>
            </w:r>
          </w:p>
          <w:p>
            <w:pPr>
              <w:spacing w:after="20"/>
              <w:ind w:left="20"/>
              <w:jc w:val="both"/>
            </w:pPr>
            <w:r>
              <w:rPr>
                <w:rFonts w:ascii="Times New Roman"/>
                <w:b w:val="false"/>
                <w:i w:val="false"/>
                <w:color w:val="000000"/>
                <w:sz w:val="20"/>
              </w:rPr>
              <w:t>
ПК 5-20 – 55</w:t>
            </w:r>
          </w:p>
          <w:p>
            <w:pPr>
              <w:spacing w:after="20"/>
              <w:ind w:left="20"/>
              <w:jc w:val="both"/>
            </w:pPr>
            <w:r>
              <w:rPr>
                <w:rFonts w:ascii="Times New Roman"/>
                <w:b w:val="false"/>
                <w:i w:val="false"/>
                <w:color w:val="000000"/>
                <w:sz w:val="20"/>
              </w:rPr>
              <w:t>
ПК 21-23-35</w:t>
            </w:r>
          </w:p>
          <w:p>
            <w:pPr>
              <w:spacing w:after="20"/>
              <w:ind w:left="20"/>
              <w:jc w:val="both"/>
            </w:pPr>
            <w:r>
              <w:rPr>
                <w:rFonts w:ascii="Times New Roman"/>
                <w:b w:val="false"/>
                <w:i w:val="false"/>
                <w:color w:val="000000"/>
                <w:sz w:val="20"/>
              </w:rPr>
              <w:t>
ПК 24-30-70</w:t>
            </w:r>
          </w:p>
          <w:p>
            <w:pPr>
              <w:spacing w:after="20"/>
              <w:ind w:left="20"/>
              <w:jc w:val="both"/>
            </w:pPr>
            <w:r>
              <w:rPr>
                <w:rFonts w:ascii="Times New Roman"/>
                <w:b w:val="false"/>
                <w:i w:val="false"/>
                <w:color w:val="000000"/>
                <w:sz w:val="20"/>
              </w:rPr>
              <w:t>
ПК 31-36 – 100</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0-4 – 35</w:t>
            </w:r>
          </w:p>
          <w:p>
            <w:pPr>
              <w:spacing w:after="20"/>
              <w:ind w:left="20"/>
              <w:jc w:val="both"/>
            </w:pPr>
            <w:r>
              <w:rPr>
                <w:rFonts w:ascii="Times New Roman"/>
                <w:b w:val="false"/>
                <w:i w:val="false"/>
                <w:color w:val="000000"/>
                <w:sz w:val="20"/>
              </w:rPr>
              <w:t>
ПК 5-20 – 55</w:t>
            </w:r>
          </w:p>
          <w:p>
            <w:pPr>
              <w:spacing w:after="20"/>
              <w:ind w:left="20"/>
              <w:jc w:val="both"/>
            </w:pPr>
            <w:r>
              <w:rPr>
                <w:rFonts w:ascii="Times New Roman"/>
                <w:b w:val="false"/>
                <w:i w:val="false"/>
                <w:color w:val="000000"/>
                <w:sz w:val="20"/>
              </w:rPr>
              <w:t>
ПК 21-23-35</w:t>
            </w:r>
          </w:p>
          <w:p>
            <w:pPr>
              <w:spacing w:after="20"/>
              <w:ind w:left="20"/>
              <w:jc w:val="both"/>
            </w:pPr>
            <w:r>
              <w:rPr>
                <w:rFonts w:ascii="Times New Roman"/>
                <w:b w:val="false"/>
                <w:i w:val="false"/>
                <w:color w:val="000000"/>
                <w:sz w:val="20"/>
              </w:rPr>
              <w:t>
ПК 24-28 – 55</w:t>
            </w:r>
          </w:p>
          <w:p>
            <w:pPr>
              <w:spacing w:after="20"/>
              <w:ind w:left="20"/>
              <w:jc w:val="both"/>
            </w:pPr>
            <w:r>
              <w:rPr>
                <w:rFonts w:ascii="Times New Roman"/>
                <w:b w:val="false"/>
                <w:i w:val="false"/>
                <w:color w:val="000000"/>
                <w:sz w:val="20"/>
              </w:rPr>
              <w:t>
ПК 29-30 – 70</w:t>
            </w:r>
          </w:p>
          <w:p>
            <w:pPr>
              <w:spacing w:after="20"/>
              <w:ind w:left="20"/>
              <w:jc w:val="both"/>
            </w:pPr>
            <w:r>
              <w:rPr>
                <w:rFonts w:ascii="Times New Roman"/>
                <w:b w:val="false"/>
                <w:i w:val="false"/>
                <w:color w:val="000000"/>
                <w:sz w:val="20"/>
              </w:rPr>
              <w:t>
ПК 31-36 - 100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0-6 – 100</w:t>
            </w:r>
          </w:p>
          <w:p>
            <w:pPr>
              <w:spacing w:after="20"/>
              <w:ind w:left="20"/>
              <w:jc w:val="both"/>
            </w:pPr>
            <w:r>
              <w:rPr>
                <w:rFonts w:ascii="Times New Roman"/>
                <w:b w:val="false"/>
                <w:i w:val="false"/>
                <w:color w:val="000000"/>
                <w:sz w:val="20"/>
              </w:rPr>
              <w:t>
ПК 6-10 – 35</w:t>
            </w:r>
          </w:p>
          <w:p>
            <w:pPr>
              <w:spacing w:after="20"/>
              <w:ind w:left="20"/>
              <w:jc w:val="both"/>
            </w:pPr>
            <w:r>
              <w:rPr>
                <w:rFonts w:ascii="Times New Roman"/>
                <w:b w:val="false"/>
                <w:i w:val="false"/>
                <w:color w:val="000000"/>
                <w:sz w:val="20"/>
              </w:rPr>
              <w:t>
ПК 11-21 – 100</w:t>
            </w:r>
          </w:p>
          <w:p>
            <w:pPr>
              <w:spacing w:after="20"/>
              <w:ind w:left="20"/>
              <w:jc w:val="both"/>
            </w:pPr>
            <w:r>
              <w:rPr>
                <w:rFonts w:ascii="Times New Roman"/>
                <w:b w:val="false"/>
                <w:i w:val="false"/>
                <w:color w:val="000000"/>
                <w:sz w:val="20"/>
              </w:rPr>
              <w:t>
ПК 21-22 – 35</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0-6 – 100</w:t>
            </w:r>
          </w:p>
          <w:p>
            <w:pPr>
              <w:spacing w:after="20"/>
              <w:ind w:left="20"/>
              <w:jc w:val="both"/>
            </w:pPr>
            <w:r>
              <w:rPr>
                <w:rFonts w:ascii="Times New Roman"/>
                <w:b w:val="false"/>
                <w:i w:val="false"/>
                <w:color w:val="000000"/>
                <w:sz w:val="20"/>
              </w:rPr>
              <w:t>
ПК 6-11 – 35</w:t>
            </w:r>
          </w:p>
          <w:p>
            <w:pPr>
              <w:spacing w:after="20"/>
              <w:ind w:left="20"/>
              <w:jc w:val="both"/>
            </w:pPr>
            <w:r>
              <w:rPr>
                <w:rFonts w:ascii="Times New Roman"/>
                <w:b w:val="false"/>
                <w:i w:val="false"/>
                <w:color w:val="000000"/>
                <w:sz w:val="20"/>
              </w:rPr>
              <w:t>
ПК 11-20 – 100</w:t>
            </w:r>
          </w:p>
          <w:p>
            <w:pPr>
              <w:spacing w:after="20"/>
              <w:ind w:left="20"/>
              <w:jc w:val="both"/>
            </w:pPr>
            <w:r>
              <w:rPr>
                <w:rFonts w:ascii="Times New Roman"/>
                <w:b w:val="false"/>
                <w:i w:val="false"/>
                <w:color w:val="000000"/>
                <w:sz w:val="20"/>
              </w:rPr>
              <w:t>
ПК 20-22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Түркістан облысы әкiмдiгiнiң 26.01.2023 </w:t>
            </w:r>
            <w:r>
              <w:rPr>
                <w:rFonts w:ascii="Times New Roman"/>
                <w:b w:val="false"/>
                <w:i w:val="false"/>
                <w:color w:val="ff0000"/>
                <w:sz w:val="20"/>
              </w:rPr>
              <w:t>№ 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Біріншімамыр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Түркістан облысы әкiмдiгiнiң 26.01.2023 </w:t>
            </w:r>
            <w:r>
              <w:rPr>
                <w:rFonts w:ascii="Times New Roman"/>
                <w:b w:val="false"/>
                <w:i w:val="false"/>
                <w:color w:val="ff0000"/>
                <w:sz w:val="20"/>
              </w:rPr>
              <w:t>№ 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Түркістан облысы әкiмдiгiнiң 26.01.2023 </w:t>
            </w:r>
            <w:r>
              <w:rPr>
                <w:rFonts w:ascii="Times New Roman"/>
                <w:b w:val="false"/>
                <w:i w:val="false"/>
                <w:color w:val="ff0000"/>
                <w:sz w:val="20"/>
              </w:rPr>
              <w:t>№ 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Ш.Ділдәбеков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Қапшагай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Досан-Қарабас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Ағанай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Ақылбексай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Таушаға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Күмісті-2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Таскенсаз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Шұқырой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Күмісті-1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Қошқорған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Ораңғай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бұлақ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Ырмақ өзен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контрреттегіші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Задария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Біресек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0-2 – 100 ПК 2-3 – 35 ПК 3-4 – 100 ПК 4-5 – 35 ПК 5-6 – 100 ПК 6-7 – 35 ПК 7-22 – 35 Сол жағалау: ПК 0-2 – 100 ПК 2-3 – 35 ПК 3-5 – 35 ПК 5-6 – 100 ПК 6-7 – 35 ПК 7-22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Балаторлан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0-12– 100 ПК 12-17 – 35 Сол жағалау: ПК 0-12– 100 ПК 12-17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Торлан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0-7 – 100 ПК 7-8 – 35 ПК 8-19 – 35 Сол жағалау: ПК 0-7 – 100 ПК 7-8 – 35 ПК 8-19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0-8 – 100 ПК 8-9 – 35 ПК 9-11 – 35 ПК 11-12 – 100 ПК 12-26 – 35 Сол жағалау: ПК 0-8 – 100 ПК 8-9 – 35 ПК 9-11 – 35 ПК 11-12 – 100 ПК 12-26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0-13 – 100 ПК 13-14 – 35 ПК 14-15 – 35 ПК 15-50 – 35 Сол жағалау: ПК 0-16 – 100 ПК 16-50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0-7 – 100 ПК 7-13 – 35 ПК 13-19 – 35 ПК 19-36 – 100 ПК 36-39 – 35 Сол жағалау: ПК 0-7 – 100 ПК 7-13 – 35 ПК 13-19 – 35 ПК 19-36 – 100 ПК 36-39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0-12– 100 ПК 12-15 – 35 ПК 15-20 – 35 Сол жағалау: ПК 0-11– 100 ПК 11-15 – 35 ПК 15-20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қарақұс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 100 ПК 1-3 – 35 ПК 3-22 – 35 Сол жағалау: ПК 0-1– 100 ПК 1-3 – 35 ПК 3-22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Дарбыт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0-4– 100 ПК 4-20 – 35 Сол жағалау: ПК 0-2 – 100 ПК 2-4 – 35 ПК 4-20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Қозмолдақ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0-3– 100 ПК 3-10 – 35 Сол жағалау: ПК 0-4 – 100 ПК 4-10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0-4 – 100 ПК 4-6 – 35 ПК 6-10 – 35 ПК 10-12 – 100 ПК 12-18 – 35 Сол жағалау: ПК 0-4 – 100 ПК 4-6 – 35 ПК 6-18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Суындық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0-10 – 100 ПК 10-12 – 35 ПК 12-17 – 35 ПК 17-19 – 35 ПК 19-57 – 35 Сол жағалау: ПК 0-10 – 100 ПК 10-12 – 35 ПК 12-17 – 35 ПК 17-19 – 35 ПК 19-57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0-3 – 55 ПК 3-4 – 35 ПК 4-7 – 100 ПК 7-10 – 35 ПК 10-12 – 100 ПК 12-16 – 35 ПК 16-49 – 35 Сол жағалау: ПК 0-3 – 55 ПК 3-4 – 35 ПК 4-7 – 100 ПК 7-10 – 35 ПК 10-12 – 100 ПК 12-16 – 35 ПК 16-49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0-5– 100 ПК 5-6 – 35 ПК 6-65 – 35 Сол жағалау: ПК 0-5– 100 ПК 5-6 – 35 ПК 6-65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0-6– 100 ПК 6-10 – 35 ПК 10-20 – 35 Сол жағалау: ПК 0-6– 100 ПК 6-10 – 35 ПК 10-20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0-12– 100 ПК 12-17 – 35 ПК 17-20 – 35 Сол жағалау: ПК 0-12– 100 ПК 12-17 – 35 ПК 17-20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0-4 – 55 ПК 4-15 – 100 ПК 15-25 – 35 ПК 25-30 – 35 Сол жағалау: ПК 0-4 – 55 ПК 4-11 – 100 ПК 11-13 – 35 ПК 13-15 – 100 ПК 15-25 – 35 ПК 25-30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Күмісті-1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0-228 -100</w:t>
            </w:r>
          </w:p>
          <w:p>
            <w:pPr>
              <w:spacing w:after="20"/>
              <w:ind w:left="20"/>
              <w:jc w:val="both"/>
            </w:pPr>
            <w:r>
              <w:rPr>
                <w:rFonts w:ascii="Times New Roman"/>
                <w:b w:val="false"/>
                <w:i w:val="false"/>
                <w:color w:val="000000"/>
                <w:sz w:val="20"/>
              </w:rPr>
              <w:t>
ПК 228-284 -35</w:t>
            </w:r>
          </w:p>
          <w:p>
            <w:pPr>
              <w:spacing w:after="20"/>
              <w:ind w:left="20"/>
              <w:jc w:val="both"/>
            </w:pPr>
            <w:r>
              <w:rPr>
                <w:rFonts w:ascii="Times New Roman"/>
                <w:b w:val="false"/>
                <w:i w:val="false"/>
                <w:color w:val="000000"/>
                <w:sz w:val="20"/>
              </w:rPr>
              <w:t>
ПК 284-314-100</w:t>
            </w:r>
          </w:p>
          <w:p>
            <w:pPr>
              <w:spacing w:after="20"/>
              <w:ind w:left="20"/>
              <w:jc w:val="both"/>
            </w:pPr>
            <w:r>
              <w:rPr>
                <w:rFonts w:ascii="Times New Roman"/>
                <w:b w:val="false"/>
                <w:i w:val="false"/>
                <w:color w:val="000000"/>
                <w:sz w:val="20"/>
              </w:rPr>
              <w:t>
ПК 314-375-35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xml:space="preserve">
ПК 0-289-100 </w:t>
            </w:r>
          </w:p>
          <w:p>
            <w:pPr>
              <w:spacing w:after="20"/>
              <w:ind w:left="20"/>
              <w:jc w:val="both"/>
            </w:pPr>
            <w:r>
              <w:rPr>
                <w:rFonts w:ascii="Times New Roman"/>
                <w:b w:val="false"/>
                <w:i w:val="false"/>
                <w:color w:val="000000"/>
                <w:sz w:val="20"/>
              </w:rPr>
              <w:t>
ПК 289-375-35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Ырмақсу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0-190-100</w:t>
            </w:r>
          </w:p>
          <w:p>
            <w:pPr>
              <w:spacing w:after="20"/>
              <w:ind w:left="20"/>
              <w:jc w:val="both"/>
            </w:pPr>
            <w:r>
              <w:rPr>
                <w:rFonts w:ascii="Times New Roman"/>
                <w:b w:val="false"/>
                <w:i w:val="false"/>
                <w:color w:val="000000"/>
                <w:sz w:val="20"/>
              </w:rPr>
              <w:t>
ПК 200-440-35</w:t>
            </w:r>
          </w:p>
          <w:p>
            <w:pPr>
              <w:spacing w:after="20"/>
              <w:ind w:left="20"/>
              <w:jc w:val="both"/>
            </w:pPr>
            <w:r>
              <w:rPr>
                <w:rFonts w:ascii="Times New Roman"/>
                <w:b w:val="false"/>
                <w:i w:val="false"/>
                <w:color w:val="000000"/>
                <w:sz w:val="20"/>
              </w:rPr>
              <w:t>
ПК 440-626-55</w:t>
            </w:r>
          </w:p>
          <w:p>
            <w:pPr>
              <w:spacing w:after="20"/>
              <w:ind w:left="20"/>
              <w:jc w:val="both"/>
            </w:pPr>
            <w:r>
              <w:rPr>
                <w:rFonts w:ascii="Times New Roman"/>
                <w:b w:val="false"/>
                <w:i w:val="false"/>
                <w:color w:val="000000"/>
                <w:sz w:val="20"/>
              </w:rPr>
              <w:t>
ПК 626-673-35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0-190-100</w:t>
            </w:r>
          </w:p>
          <w:p>
            <w:pPr>
              <w:spacing w:after="20"/>
              <w:ind w:left="20"/>
              <w:jc w:val="both"/>
            </w:pPr>
            <w:r>
              <w:rPr>
                <w:rFonts w:ascii="Times New Roman"/>
                <w:b w:val="false"/>
                <w:i w:val="false"/>
                <w:color w:val="000000"/>
                <w:sz w:val="20"/>
              </w:rPr>
              <w:t>
ПК 200-440-55</w:t>
            </w:r>
          </w:p>
          <w:p>
            <w:pPr>
              <w:spacing w:after="20"/>
              <w:ind w:left="20"/>
              <w:jc w:val="both"/>
            </w:pPr>
            <w:r>
              <w:rPr>
                <w:rFonts w:ascii="Times New Roman"/>
                <w:b w:val="false"/>
                <w:i w:val="false"/>
                <w:color w:val="000000"/>
                <w:sz w:val="20"/>
              </w:rPr>
              <w:t>
ПК 440-656-55</w:t>
            </w:r>
          </w:p>
          <w:p>
            <w:pPr>
              <w:spacing w:after="20"/>
              <w:ind w:left="20"/>
              <w:jc w:val="both"/>
            </w:pPr>
            <w:r>
              <w:rPr>
                <w:rFonts w:ascii="Times New Roman"/>
                <w:b w:val="false"/>
                <w:i w:val="false"/>
                <w:color w:val="000000"/>
                <w:sz w:val="20"/>
              </w:rPr>
              <w:t>
ПК 656-673-35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0-36-55</w:t>
            </w:r>
          </w:p>
          <w:p>
            <w:pPr>
              <w:spacing w:after="20"/>
              <w:ind w:left="20"/>
              <w:jc w:val="both"/>
            </w:pPr>
            <w:r>
              <w:rPr>
                <w:rFonts w:ascii="Times New Roman"/>
                <w:b w:val="false"/>
                <w:i w:val="false"/>
                <w:color w:val="000000"/>
                <w:sz w:val="20"/>
              </w:rPr>
              <w:t>
ПК 36-98-100</w:t>
            </w:r>
          </w:p>
          <w:p>
            <w:pPr>
              <w:spacing w:after="20"/>
              <w:ind w:left="20"/>
              <w:jc w:val="both"/>
            </w:pPr>
            <w:r>
              <w:rPr>
                <w:rFonts w:ascii="Times New Roman"/>
                <w:b w:val="false"/>
                <w:i w:val="false"/>
                <w:color w:val="000000"/>
                <w:sz w:val="20"/>
              </w:rPr>
              <w:t>
ПК 98-105-35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0-36-55</w:t>
            </w:r>
          </w:p>
          <w:p>
            <w:pPr>
              <w:spacing w:after="20"/>
              <w:ind w:left="20"/>
              <w:jc w:val="both"/>
            </w:pPr>
            <w:r>
              <w:rPr>
                <w:rFonts w:ascii="Times New Roman"/>
                <w:b w:val="false"/>
                <w:i w:val="false"/>
                <w:color w:val="000000"/>
                <w:sz w:val="20"/>
              </w:rPr>
              <w:t>
ПК 36-95-100</w:t>
            </w:r>
          </w:p>
          <w:p>
            <w:pPr>
              <w:spacing w:after="20"/>
              <w:ind w:left="20"/>
              <w:jc w:val="both"/>
            </w:pPr>
            <w:r>
              <w:rPr>
                <w:rFonts w:ascii="Times New Roman"/>
                <w:b w:val="false"/>
                <w:i w:val="false"/>
                <w:color w:val="000000"/>
                <w:sz w:val="20"/>
              </w:rPr>
              <w:t>
ПК 95-105-35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0-2-55</w:t>
            </w:r>
          </w:p>
          <w:p>
            <w:pPr>
              <w:spacing w:after="20"/>
              <w:ind w:left="20"/>
              <w:jc w:val="both"/>
            </w:pPr>
            <w:r>
              <w:rPr>
                <w:rFonts w:ascii="Times New Roman"/>
                <w:b w:val="false"/>
                <w:i w:val="false"/>
                <w:color w:val="000000"/>
                <w:sz w:val="20"/>
              </w:rPr>
              <w:t>
ПК 2-36-100</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0-2-55</w:t>
            </w:r>
          </w:p>
          <w:p>
            <w:pPr>
              <w:spacing w:after="20"/>
              <w:ind w:left="20"/>
              <w:jc w:val="both"/>
            </w:pPr>
            <w:r>
              <w:rPr>
                <w:rFonts w:ascii="Times New Roman"/>
                <w:b w:val="false"/>
                <w:i w:val="false"/>
                <w:color w:val="000000"/>
                <w:sz w:val="20"/>
              </w:rPr>
              <w:t>
ПК 2-17-100</w:t>
            </w:r>
          </w:p>
          <w:p>
            <w:pPr>
              <w:spacing w:after="20"/>
              <w:ind w:left="20"/>
              <w:jc w:val="both"/>
            </w:pPr>
            <w:r>
              <w:rPr>
                <w:rFonts w:ascii="Times New Roman"/>
                <w:b w:val="false"/>
                <w:i w:val="false"/>
                <w:color w:val="000000"/>
                <w:sz w:val="20"/>
              </w:rPr>
              <w:t>
ПК 17-36-55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0-18-55</w:t>
            </w:r>
          </w:p>
          <w:p>
            <w:pPr>
              <w:spacing w:after="20"/>
              <w:ind w:left="20"/>
              <w:jc w:val="both"/>
            </w:pPr>
            <w:r>
              <w:rPr>
                <w:rFonts w:ascii="Times New Roman"/>
                <w:b w:val="false"/>
                <w:i w:val="false"/>
                <w:color w:val="000000"/>
                <w:sz w:val="20"/>
              </w:rPr>
              <w:t>
ПК 18-36-100</w:t>
            </w:r>
          </w:p>
          <w:p>
            <w:pPr>
              <w:spacing w:after="20"/>
              <w:ind w:left="20"/>
              <w:jc w:val="both"/>
            </w:pPr>
            <w:r>
              <w:rPr>
                <w:rFonts w:ascii="Times New Roman"/>
                <w:b w:val="false"/>
                <w:i w:val="false"/>
                <w:color w:val="000000"/>
                <w:sz w:val="20"/>
              </w:rPr>
              <w:t>
ПК 36-54-75</w:t>
            </w:r>
          </w:p>
          <w:p>
            <w:pPr>
              <w:spacing w:after="20"/>
              <w:ind w:left="20"/>
              <w:jc w:val="both"/>
            </w:pPr>
            <w:r>
              <w:rPr>
                <w:rFonts w:ascii="Times New Roman"/>
                <w:b w:val="false"/>
                <w:i w:val="false"/>
                <w:color w:val="000000"/>
                <w:sz w:val="20"/>
              </w:rPr>
              <w:t>
ПК 54-75-35</w:t>
            </w:r>
          </w:p>
          <w:p>
            <w:pPr>
              <w:spacing w:after="20"/>
              <w:ind w:left="20"/>
              <w:jc w:val="both"/>
            </w:pPr>
            <w:r>
              <w:rPr>
                <w:rFonts w:ascii="Times New Roman"/>
                <w:b w:val="false"/>
                <w:i w:val="false"/>
                <w:color w:val="000000"/>
                <w:sz w:val="20"/>
              </w:rPr>
              <w:t>
ПК 75-88-100</w:t>
            </w:r>
          </w:p>
          <w:p>
            <w:pPr>
              <w:spacing w:after="20"/>
              <w:ind w:left="20"/>
              <w:jc w:val="both"/>
            </w:pPr>
            <w:r>
              <w:rPr>
                <w:rFonts w:ascii="Times New Roman"/>
                <w:b w:val="false"/>
                <w:i w:val="false"/>
                <w:color w:val="000000"/>
                <w:sz w:val="20"/>
              </w:rPr>
              <w:t>
ПК 88-133-55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0-18-55</w:t>
            </w:r>
          </w:p>
          <w:p>
            <w:pPr>
              <w:spacing w:after="20"/>
              <w:ind w:left="20"/>
              <w:jc w:val="both"/>
            </w:pPr>
            <w:r>
              <w:rPr>
                <w:rFonts w:ascii="Times New Roman"/>
                <w:b w:val="false"/>
                <w:i w:val="false"/>
                <w:color w:val="000000"/>
                <w:sz w:val="20"/>
              </w:rPr>
              <w:t>
ПК 18-88-100</w:t>
            </w:r>
          </w:p>
          <w:p>
            <w:pPr>
              <w:spacing w:after="20"/>
              <w:ind w:left="20"/>
              <w:jc w:val="both"/>
            </w:pPr>
            <w:r>
              <w:rPr>
                <w:rFonts w:ascii="Times New Roman"/>
                <w:b w:val="false"/>
                <w:i w:val="false"/>
                <w:color w:val="000000"/>
                <w:sz w:val="20"/>
              </w:rPr>
              <w:t>
ПК 88-135-155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Жаушықұм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Әлімтау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Қожатоғай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Акдала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Қарақоңыр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Бабайқорған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Шорнақ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Үшқайық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Қарашық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Оранғай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Пикеттің (ПК) нөмірі өзеннің ара қашықтығын көрсетеді. Мысалы: ПК1 – 1,0 шақырым, ПК2 – 2,0 шақырым.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"24" шілде № 200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Су нысандарының су қорғау аймақтары мен белдеулерін шаруашылықта пайдалану режимі мен ерекше жағдайлары</w:t>
      </w:r>
    </w:p>
    <w:bookmarkEnd w:id="7"/>
    <w:p>
      <w:pPr>
        <w:spacing w:after="0"/>
        <w:ind w:left="0"/>
        <w:jc w:val="both"/>
      </w:pPr>
      <w:r>
        <w:rPr>
          <w:rFonts w:ascii="Times New Roman"/>
          <w:b w:val="false"/>
          <w:i w:val="false"/>
          <w:color w:val="ff0000"/>
          <w:sz w:val="28"/>
        </w:rPr>
        <w:t xml:space="preserve">
      Ескерту. 2-қосымша жаңа редакцияда - Түркістан облысы әкiмдiгiнiң 10.11.2022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8"/>
    <w:p>
      <w:pPr>
        <w:spacing w:after="0"/>
        <w:ind w:left="0"/>
        <w:jc w:val="both"/>
      </w:pPr>
      <w:r>
        <w:rPr>
          <w:rFonts w:ascii="Times New Roman"/>
          <w:b w:val="false"/>
          <w:i w:val="false"/>
          <w:color w:val="000000"/>
          <w:sz w:val="28"/>
        </w:rPr>
        <w:t>
      1.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2.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Start w:name="z13" w:id="10"/>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облыстың (республикалық маңызы бар қаланың, астананың) жергілікті атқарушы органдарымен келісіледі.</w:t>
      </w:r>
    </w:p>
    <w:bookmarkEnd w:id="10"/>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p>
      <w:pPr>
        <w:spacing w:after="0"/>
        <w:ind w:left="0"/>
        <w:jc w:val="both"/>
      </w:pPr>
      <w:r>
        <w:rPr>
          <w:rFonts w:ascii="Times New Roman"/>
          <w:b w:val="false"/>
          <w:i w:val="false"/>
          <w:color w:val="000000"/>
          <w:sz w:val="28"/>
        </w:rPr>
        <w:t>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w:t>
      </w:r>
    </w:p>
    <w:bookmarkStart w:name="z14" w:id="11"/>
    <w:p>
      <w:pPr>
        <w:spacing w:after="0"/>
        <w:ind w:left="0"/>
        <w:jc w:val="both"/>
      </w:pPr>
      <w:r>
        <w:rPr>
          <w:rFonts w:ascii="Times New Roman"/>
          <w:b w:val="false"/>
          <w:i w:val="false"/>
          <w:color w:val="000000"/>
          <w:sz w:val="28"/>
        </w:rPr>
        <w:t>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w:t>
      </w:r>
    </w:p>
    <w:bookmarkEnd w:id="11"/>
    <w:bookmarkStart w:name="z15" w:id="12"/>
    <w:p>
      <w:pPr>
        <w:spacing w:after="0"/>
        <w:ind w:left="0"/>
        <w:jc w:val="both"/>
      </w:pPr>
      <w:r>
        <w:rPr>
          <w:rFonts w:ascii="Times New Roman"/>
          <w:b w:val="false"/>
          <w:i w:val="false"/>
          <w:color w:val="000000"/>
          <w:sz w:val="28"/>
        </w:rPr>
        <w:t>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w:t>
      </w:r>
    </w:p>
    <w:bookmarkEnd w:id="12"/>
    <w:bookmarkStart w:name="z16" w:id="13"/>
    <w:p>
      <w:pPr>
        <w:spacing w:after="0"/>
        <w:ind w:left="0"/>
        <w:jc w:val="both"/>
      </w:pPr>
      <w:r>
        <w:rPr>
          <w:rFonts w:ascii="Times New Roman"/>
          <w:b w:val="false"/>
          <w:i w:val="false"/>
          <w:color w:val="000000"/>
          <w:sz w:val="28"/>
        </w:rPr>
        <w:t>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w:t>
      </w:r>
    </w:p>
    <w:bookmarkEnd w:id="13"/>
    <w:p>
      <w:pPr>
        <w:spacing w:after="0"/>
        <w:ind w:left="0"/>
        <w:jc w:val="both"/>
      </w:pPr>
      <w:r>
        <w:rPr>
          <w:rFonts w:ascii="Times New Roman"/>
          <w:b w:val="false"/>
          <w:i w:val="false"/>
          <w:color w:val="000000"/>
          <w:sz w:val="28"/>
        </w:rPr>
        <w:t>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w:t>
      </w:r>
    </w:p>
    <w:bookmarkStart w:name="z17" w:id="14"/>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