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174d4" w14:textId="3c174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Ақсукент ауылдық округі бойынша коммуналдық қалдықтардың түзілу мен жинақталу нормаларын, тұрмыстық қатты қалдықтарды жинауға, әкетуге, кәдеге жаратуға, қайта өңдеуге және көмуге арналған тарифтерін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Сайрам аудандық мәслихатының 2017 жылғы 28 желтоқсандағы № 23-160/VI шешiмi. Оңтүстiк Қазақстан облысының Әдiлет департаментiнде 2018 жылғы 19 қаңтарда № 4411 болып тiркелдi. Күші жойылды - Түркістан облысы Сайрам аудандық мәслихатының 2019 жылғы 2 мамырдағы № 40-257/VI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Сайрам аудандық мәслихатының 02.05.2019 № 40-257/VI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19-1 бабының</w:t>
      </w:r>
      <w:r>
        <w:rPr>
          <w:rFonts w:ascii="Times New Roman"/>
          <w:b w:val="false"/>
          <w:i w:val="false"/>
          <w:color w:val="000000"/>
          <w:sz w:val="28"/>
        </w:rPr>
        <w:t xml:space="preserve"> 1) және 2) тармақшаларына, "Қазақстан Республикасындағы жергiлiктi мемлекеттiк басқару және өзiн-өзi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"Коммуналдық қалдықтардың түзілу және жинақталу нормаларын есептеудің үлгілік қағидаларын бекіту туралы" Қазақстан Республикасы Энергетика министрінің 2014 жылғы 25 қарашадағы № 145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10030 тіркелген) және "Тұрмыстық қатты қалдықтарды жинауға, әкетуге, кәдеге жаратуға, қайта өңдеуге және көмуге арналған тарифті есептеу әдістемесін бекіту туралы" Қазақстан Республикасы Энергетика министрінің 2016 жылғы 1 қыркүйектегі № 404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14285 тіркелген) сәйкес, Сайрам аудандық мәслихаты ШЕШІМ ҚАБЫЛДАДЫ:</w:t>
      </w:r>
    </w:p>
    <w:bookmarkStart w:name="z2" w:id="1"/>
    <w:p>
      <w:pPr>
        <w:spacing w:after="0"/>
        <w:ind w:left="0"/>
        <w:jc w:val="both"/>
      </w:pPr>
      <w:r>
        <w:rPr>
          <w:rFonts w:ascii="Times New Roman"/>
          <w:b w:val="false"/>
          <w:i w:val="false"/>
          <w:color w:val="000000"/>
          <w:sz w:val="28"/>
        </w:rPr>
        <w:t xml:space="preserve">
      1. Ақсукент ауылдық округі бойынша коммуналдық қалдықтардың түзілу және жинақталу нормалары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Ақсукент ауылдық округі бойынша тұрмыстық қатты қалдықтарды жинауға, әкетуге, кәдеге жаратуға, қайта өңдеуге және көмуге арналған тарифтер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"Сайрам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Сайрам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Сайрам аудандық мәслихаттың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Г.Раимкулов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23-160/VI</w:t>
            </w:r>
            <w:r>
              <w:br/>
            </w:r>
            <w:r>
              <w:rPr>
                <w:rFonts w:ascii="Times New Roman"/>
                <w:b w:val="false"/>
                <w:i w:val="false"/>
                <w:color w:val="000000"/>
                <w:sz w:val="20"/>
              </w:rPr>
              <w:t>шешіміне № 1 қосымша</w:t>
            </w:r>
          </w:p>
        </w:tc>
      </w:tr>
    </w:tbl>
    <w:p>
      <w:pPr>
        <w:spacing w:after="0"/>
        <w:ind w:left="0"/>
        <w:jc w:val="left"/>
      </w:pPr>
      <w:r>
        <w:rPr>
          <w:rFonts w:ascii="Times New Roman"/>
          <w:b/>
          <w:i w:val="false"/>
          <w:color w:val="000000"/>
        </w:rPr>
        <w:t xml:space="preserve"> Ақсукент ауылдық округі бойынша коммуналдық қалдықтардың түзілу және жинақталу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2"/>
        <w:gridCol w:w="4534"/>
        <w:gridCol w:w="3072"/>
        <w:gridCol w:w="3072"/>
      </w:tblGrid>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жинақталу нормалары, м</w:t>
            </w:r>
            <w:r>
              <w:rPr>
                <w:rFonts w:ascii="Times New Roman"/>
                <w:b w:val="false"/>
                <w:i w:val="false"/>
                <w:color w:val="000000"/>
                <w:vertAlign w:val="superscript"/>
              </w:rPr>
              <w:t>3</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r>
              <w:br/>
            </w:r>
            <w:r>
              <w:rPr>
                <w:rFonts w:ascii="Times New Roman"/>
                <w:b w:val="false"/>
                <w:i w:val="false"/>
                <w:color w:val="000000"/>
                <w:sz w:val="20"/>
              </w:rPr>
              <w:t>2,007</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0,883</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бөбекжайлар</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жинақ банктері, байланыс бөлімшелері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санаторийлер, өзге де емдеу-сауықтыру мекемелері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1оқушы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қоғамдық тамақтану мекемелері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тағам</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дүкендері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м</w:t>
            </w:r>
            <w:r>
              <w:rPr>
                <w:rFonts w:ascii="Times New Roman"/>
                <w:b w:val="false"/>
                <w:i w:val="false"/>
                <w:color w:val="000000"/>
                <w:vertAlign w:val="superscript"/>
              </w:rPr>
              <w:t>2</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Машиналардансату</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 м</w:t>
            </w:r>
            <w:r>
              <w:rPr>
                <w:rFonts w:ascii="Times New Roman"/>
                <w:b w:val="false"/>
                <w:i w:val="false"/>
                <w:color w:val="000000"/>
                <w:vertAlign w:val="superscript"/>
              </w:rPr>
              <w:t>2</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дүкендер, супермаркеттер</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м</w:t>
            </w:r>
            <w:r>
              <w:rPr>
                <w:rFonts w:ascii="Times New Roman"/>
                <w:b w:val="false"/>
                <w:i w:val="false"/>
                <w:color w:val="000000"/>
                <w:vertAlign w:val="superscript"/>
              </w:rPr>
              <w:t>2</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0,365</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м</w:t>
            </w:r>
            <w:r>
              <w:rPr>
                <w:rFonts w:ascii="Times New Roman"/>
                <w:b w:val="false"/>
                <w:i w:val="false"/>
                <w:color w:val="000000"/>
                <w:vertAlign w:val="superscript"/>
              </w:rPr>
              <w:t>2</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0,219</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көтерме базары, коймалары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тауарлардың көтерме базары, қоймалары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w:t>
            </w:r>
            <w:r>
              <w:rPr>
                <w:rFonts w:ascii="Times New Roman"/>
                <w:b w:val="false"/>
                <w:i w:val="false"/>
                <w:color w:val="000000"/>
                <w:vertAlign w:val="superscript"/>
              </w:rPr>
              <w:t>2</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қызмет көрсету үйі: халыққа қызмет көрсету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w:t>
            </w:r>
            <w:r>
              <w:rPr>
                <w:rFonts w:ascii="Times New Roman"/>
                <w:b w:val="false"/>
                <w:i w:val="false"/>
                <w:color w:val="000000"/>
                <w:vertAlign w:val="superscript"/>
              </w:rPr>
              <w:t>2</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0,365</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 гараждар</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қиімді, сағаттарды жөндеу шеберханалары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және қызмет көрсету орындары (кілттер жасау және сол сияқты)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ұйымдар</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желтоқсандағы № 23-160/VI</w:t>
            </w:r>
            <w:r>
              <w:br/>
            </w:r>
            <w:r>
              <w:rPr>
                <w:rFonts w:ascii="Times New Roman"/>
                <w:b w:val="false"/>
                <w:i w:val="false"/>
                <w:color w:val="000000"/>
                <w:sz w:val="20"/>
              </w:rPr>
              <w:t>шешіміне № 2 қосымша</w:t>
            </w:r>
          </w:p>
        </w:tc>
      </w:tr>
    </w:tbl>
    <w:p>
      <w:pPr>
        <w:spacing w:after="0"/>
        <w:ind w:left="0"/>
        <w:jc w:val="left"/>
      </w:pPr>
      <w:r>
        <w:rPr>
          <w:rFonts w:ascii="Times New Roman"/>
          <w:b/>
          <w:i w:val="false"/>
          <w:color w:val="000000"/>
        </w:rPr>
        <w:t xml:space="preserve"> Ақсукент ауылдық округі бойынша тұрмыстық қатты қалдықтарды жинауға, әкетуге, кәдеге жаратуға, қайта өңдеуге және көмуге арналған тарифтері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6"/>
        <w:gridCol w:w="4181"/>
        <w:gridCol w:w="1997"/>
        <w:gridCol w:w="3416"/>
      </w:tblGrid>
      <w:tr>
        <w:trPr>
          <w:trHeight w:val="30"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теңгемен</w:t>
            </w:r>
          </w:p>
        </w:tc>
      </w:tr>
      <w:tr>
        <w:trPr>
          <w:trHeight w:val="30"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жинау, әкету тарифтері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емес үйлері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Жайлы үйлер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текше метр</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көмуге арналған тарифтері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текше метр</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r>
      <w:tr>
        <w:trPr>
          <w:trHeight w:val="30"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текше метр</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кәдеге жаратуға, қайта өңдеуге арналған тарифтерi</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