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2057" w14:textId="2fb2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ауданы әкiмдiгiнiң 2017 жылғы 24 қарашадағы № 459 қаулысы. Оңтүстiк Қазақстан облысының Әдiлет департаментiнде 2017 жылғы 12 желтоқсанда № 4307 болып тiркелдi. Күші жойылды - Түркістан облысы Сарыағаш ауданы әкiмдiгiнiң 2019 жылғы 26 шілдедегі № 284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ауданы әкiмдiгiнiң 26.07.2019 № 284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 Қазақстан Республикасының 2017 жылғы 5 шілдедегі </w:t>
      </w:r>
      <w:r>
        <w:rPr>
          <w:rFonts w:ascii="Times New Roman"/>
          <w:b w:val="false"/>
          <w:i w:val="false"/>
          <w:color w:val="000000"/>
          <w:sz w:val="28"/>
        </w:rPr>
        <w:t>Заңына</w:t>
      </w:r>
      <w:r>
        <w:rPr>
          <w:rFonts w:ascii="Times New Roman"/>
          <w:b w:val="false"/>
          <w:i w:val="false"/>
          <w:color w:val="000000"/>
          <w:sz w:val="28"/>
        </w:rPr>
        <w:t xml:space="preserve"> сәйкес, Сарыағаш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 осы қаулыға </w:t>
      </w:r>
      <w:r>
        <w:rPr>
          <w:rFonts w:ascii="Times New Roman"/>
          <w:b w:val="false"/>
          <w:i w:val="false"/>
          <w:color w:val="000000"/>
          <w:sz w:val="28"/>
        </w:rPr>
        <w:t>1-қосымшаға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ата-ана төлемақысының мөлшері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Сарыағаш ауданы әкімдігінің 2017 жылғы 19 мамырдағы № 179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(Нормативтік құқықтық актілерді мемлекеттік тіркеу тізілімінде № 4116 тіркелген, 2017 жылғы 16 маусымда "Сарыағаш" газетінде және 2017 жылғы 15 маусымда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"Сарыағаш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Сарыағаш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Қ.Қыстаубаевқа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К.Абдуалиев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459 қаулысына 1-қосымша</w:t>
            </w:r>
          </w:p>
        </w:tc>
      </w:tr>
    </w:tbl>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1"/>
        <w:gridCol w:w="4632"/>
        <w:gridCol w:w="3037"/>
      </w:tblGrid>
      <w:tr>
        <w:trPr>
          <w:trHeight w:val="30" w:hRule="atLeast"/>
        </w:trPr>
        <w:tc>
          <w:tcPr>
            <w:tcW w:w="4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мекемелердегі 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есебінен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19194</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459 қаулысына 2-қосымша</w:t>
            </w:r>
          </w:p>
        </w:tc>
      </w:tr>
    </w:tbl>
    <w:p>
      <w:pPr>
        <w:spacing w:after="0"/>
        <w:ind w:left="0"/>
        <w:jc w:val="left"/>
      </w:pPr>
      <w:r>
        <w:rPr>
          <w:rFonts w:ascii="Times New Roman"/>
          <w:b/>
          <w:i w:val="false"/>
          <w:color w:val="000000"/>
        </w:rPr>
        <w:t xml:space="preserve">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5097"/>
        <w:gridCol w:w="6352"/>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теңге (көп емес)</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теңге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331,06</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398,78</w:t>
            </w:r>
          </w:p>
        </w:tc>
      </w:tr>
    </w:tbl>
    <w:p>
      <w:pPr>
        <w:spacing w:after="0"/>
        <w:ind w:left="0"/>
        <w:jc w:val="both"/>
      </w:pPr>
      <w:r>
        <w:rPr>
          <w:rFonts w:ascii="Times New Roman"/>
          <w:b w:val="false"/>
          <w:i w:val="false"/>
          <w:color w:val="000000"/>
          <w:sz w:val="28"/>
        </w:rPr>
        <w:t>
      Ескертпе: 1 күніне бір балаға жас ерекшелігіне қарай кететін шығын. Нақты жұмыс күніне есептелген.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