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52e0" w14:textId="9715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2016 жылғы 19 шілдедегі № 29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2017 жылғы 27 қыркүйектегі № 104 шешiмi. Оңтүстiк Қазақстан облысының Әдiлет департаментiнде 2017 жылғы 16 қазанда № 4234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2016 жылғы 19 шілдедегі № 29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3811 тіркелген, 2016 жылғы 30 шілдеде "Созақ үні" газетінде және 2017 жылғы 08 тамызда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деген сан "5"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"2,7" деген сан "5" деген санмен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деген сан "62"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"21,5" деген сан "55"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деген сан "220"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"300" деген сан "441"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балаларға арналған қоларбаға 51 айлық есептік көрсеткіш мөлшерінде.".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