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c89a" w14:textId="ff7c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қаңтардағы № 19 бұйрығы. Қазақстан Республикасының Әділет министрлігінде 2018 жылғы 1 ақпанда № 16302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"Әділет" ақпараттық-құқықтық жүйесінде 2014 жылғы 26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уәкілетті орган және мемлекеттік жоспарлау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мемлекеттік-жекешелік әріптестік жобалары бойынша қабылданған мемлекеттік міндеттемелер, оның ішінде мемлекеттiк концессиялық мiндеттемелер, жоспарлы кезеңге арналған тиісті бюджет тапшылығының мөлшері негізінде айқындалады.</w:t>
      </w:r>
    </w:p>
    <w:bookmarkEnd w:id="3"/>
    <w:bookmarkStart w:name="z6" w:id="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65-1-бабына</w:t>
      </w:r>
      <w:r>
        <w:rPr>
          <w:rFonts w:ascii="Times New Roman"/>
          <w:b w:val="false"/>
          <w:i w:val="false"/>
          <w:color w:val="000000"/>
          <w:sz w:val="28"/>
        </w:rPr>
        <w:t xml:space="preserve"> сәйкес жергілікті бюджеттік бағдарламалар әкімшілері шығыстарының лимиттері, жаңа бастамаларға арналған лимиттер бюджеттік жоспарлау жөнiндегi орталық уәкiлеттi орган айқындайтын тәртіппен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бөлімі мынадай редакцияда жазылсын:</w:t>
      </w:r>
    </w:p>
    <w:bookmarkStart w:name="z8" w:id="5"/>
    <w:p>
      <w:pPr>
        <w:spacing w:after="0"/>
        <w:ind w:left="0"/>
        <w:jc w:val="both"/>
      </w:pPr>
      <w:r>
        <w:rPr>
          <w:rFonts w:ascii="Times New Roman"/>
          <w:b w:val="false"/>
          <w:i w:val="false"/>
          <w:color w:val="000000"/>
          <w:sz w:val="28"/>
        </w:rPr>
        <w:t xml:space="preserve">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толық көлемде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10" w:id="6"/>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"2) аумақтарды дамыту бағдарламасының мақсаттарына және бюджеттік бағдарламалардың көрсеткіштеріне қол жеткізу тиімділігін бағалау нәтижелерін;"; </w:t>
      </w:r>
    </w:p>
    <w:bookmarkEnd w:id="8"/>
    <w:bookmarkStart w:name="z14" w:id="9"/>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6) нысаналы даму трансферттері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17" w:id="11"/>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толық көлемде, жергiлiктi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Start w:name="z19" w:id="12"/>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жылындағы жергілікті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12"/>
    <w:bookmarkStart w:name="z20" w:id="13"/>
    <w:p>
      <w:pPr>
        <w:spacing w:after="0"/>
        <w:ind w:left="0"/>
        <w:jc w:val="both"/>
      </w:pPr>
      <w:r>
        <w:rPr>
          <w:rFonts w:ascii="Times New Roman"/>
          <w:b w:val="false"/>
          <w:i w:val="false"/>
          <w:color w:val="000000"/>
          <w:sz w:val="28"/>
        </w:rPr>
        <w:t xml:space="preserve">
      26-тармақтың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
    <w:bookmarkStart w:name="z21" w:id="14"/>
    <w:p>
      <w:pPr>
        <w:spacing w:after="0"/>
        <w:ind w:left="0"/>
        <w:jc w:val="both"/>
      </w:pPr>
      <w:r>
        <w:rPr>
          <w:rFonts w:ascii="Times New Roman"/>
          <w:b w:val="false"/>
          <w:i w:val="false"/>
          <w:color w:val="000000"/>
          <w:sz w:val="28"/>
        </w:rPr>
        <w:t>
      "4) нысаналы даму трансферттері бойынша бюджеттік бағдарламалардың жобаларында көзделген жергілікті бюджеттік инвестициялардың нәтижелеріне қол жеткізілуін талдауды нысаналы даму трансферттері бойынша ескереді.";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 мынадай редакцияда жазылсын:</w:t>
      </w:r>
    </w:p>
    <w:bookmarkStart w:name="z23" w:id="15"/>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бюджетiнің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bookmarkEnd w:id="15"/>
    <w:bookmarkStart w:name="z24"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7"/>
    <w:bookmarkStart w:name="z26" w:id="1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8"/>
    <w:bookmarkStart w:name="z27"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9"/>
    <w:bookmarkStart w:name="z28" w:id="2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29" w:id="21"/>
    <w:p>
      <w:pPr>
        <w:spacing w:after="0"/>
        <w:ind w:left="0"/>
        <w:jc w:val="both"/>
      </w:pPr>
      <w:r>
        <w:rPr>
          <w:rFonts w:ascii="Times New Roman"/>
          <w:b w:val="false"/>
          <w:i w:val="false"/>
          <w:color w:val="000000"/>
          <w:sz w:val="28"/>
        </w:rPr>
        <w:t>
      4. Осы бұйрық мемлекеттік тiркелген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