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1b3f" w14:textId="08e1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 тауарларды, оның ішінде акцизделетін тауарларды кәсіпкерлік қызмет мақсатында Еуразиялық экономикалық одаққа мүше мемлекеттердің аумағынан импорттайтын тауарларға жатқызу өлшемшарттарын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104 бұйрығы. Қазақстан Республикасының Әділет министрлігінде 2018 жылғы 16 ақпанда № 16375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17.01.2022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438-бабының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461-бабының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17.01.2022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тауарларды, оның ішінде акцизделетін тауарларды кәсіпкерлік қызмет мақсатында Еуразиялық экономикалық одаққа (бұдан әрі – ЕАЭО) мүше мемлекеттердің аумағынан импорттайтын тауарларға жатқызудың мынадай өлшемшарттары бекітілсін:</w:t>
      </w:r>
    </w:p>
    <w:bookmarkStart w:name="z6" w:id="0"/>
    <w:p>
      <w:pPr>
        <w:spacing w:after="0"/>
        <w:ind w:left="0"/>
        <w:jc w:val="both"/>
      </w:pPr>
      <w:r>
        <w:rPr>
          <w:rFonts w:ascii="Times New Roman"/>
          <w:b w:val="false"/>
          <w:i w:val="false"/>
          <w:color w:val="000000"/>
          <w:sz w:val="28"/>
        </w:rPr>
        <w:t>
      1) егер осы тармақтың 2) тармақшасында өзгеше көзделмесе, құны күнтізбелік жыл ішінде Қазақстан Республикасының республикалық бюджет туралы заңында белгіленген және тиісті қаржы жылының 1 қаңтарына қолданыста болатын ең төмен еңбек ақының 12 еселенген мөлшерінен асатын ЕАЭО мүше мемлекеттердің аумағынан Қазақстан Республикасының аумағына тауарлар әкелу;</w:t>
      </w:r>
    </w:p>
    <w:bookmarkEnd w:id="0"/>
    <w:bookmarkStart w:name="z7" w:id="1"/>
    <w:p>
      <w:pPr>
        <w:spacing w:after="0"/>
        <w:ind w:left="0"/>
        <w:jc w:val="both"/>
      </w:pPr>
      <w:r>
        <w:rPr>
          <w:rFonts w:ascii="Times New Roman"/>
          <w:b w:val="false"/>
          <w:i w:val="false"/>
          <w:color w:val="000000"/>
          <w:sz w:val="28"/>
        </w:rPr>
        <w:t>
      2) ЕАЭО-ға мүше мемлекеттердің аумағынан жеке тұлғаның атына 1 (бір) жыл ішінде келесідей көлемде:</w:t>
      </w:r>
    </w:p>
    <w:bookmarkEnd w:id="1"/>
    <w:p>
      <w:pPr>
        <w:spacing w:after="0"/>
        <w:ind w:left="0"/>
        <w:jc w:val="both"/>
      </w:pPr>
      <w:r>
        <w:rPr>
          <w:rFonts w:ascii="Times New Roman"/>
          <w:b w:val="false"/>
          <w:i w:val="false"/>
          <w:color w:val="000000"/>
          <w:sz w:val="28"/>
        </w:rPr>
        <w:t>
      теріден жасалған бұйымдар, оның ішінде бас киімдер – бір адамға бір атаудағы 1 (бір) заттан артық;</w:t>
      </w:r>
    </w:p>
    <w:p>
      <w:pPr>
        <w:spacing w:after="0"/>
        <w:ind w:left="0"/>
        <w:jc w:val="both"/>
      </w:pPr>
      <w:r>
        <w:rPr>
          <w:rFonts w:ascii="Times New Roman"/>
          <w:b w:val="false"/>
          <w:i w:val="false"/>
          <w:color w:val="000000"/>
          <w:sz w:val="28"/>
        </w:rPr>
        <w:t>
      ұялы телефон – бір адамға 2 (екі) бірліктен артық;</w:t>
      </w:r>
    </w:p>
    <w:p>
      <w:pPr>
        <w:spacing w:after="0"/>
        <w:ind w:left="0"/>
        <w:jc w:val="both"/>
      </w:pPr>
      <w:r>
        <w:rPr>
          <w:rFonts w:ascii="Times New Roman"/>
          <w:b w:val="false"/>
          <w:i w:val="false"/>
          <w:color w:val="000000"/>
          <w:sz w:val="28"/>
        </w:rPr>
        <w:t>
      планшет – бір адамға 2 (екі) бірліктен артық;</w:t>
      </w:r>
    </w:p>
    <w:p>
      <w:pPr>
        <w:spacing w:after="0"/>
        <w:ind w:left="0"/>
        <w:jc w:val="both"/>
      </w:pPr>
      <w:r>
        <w:rPr>
          <w:rFonts w:ascii="Times New Roman"/>
          <w:b w:val="false"/>
          <w:i w:val="false"/>
          <w:color w:val="000000"/>
          <w:sz w:val="28"/>
        </w:rPr>
        <w:t>
      стационарлық, тасымалданатын (портативті) компьютер және оған арналған керек-жарақтар – бір адамға 2 (екі) бірліктен артық;</w:t>
      </w:r>
    </w:p>
    <w:p>
      <w:pPr>
        <w:spacing w:after="0"/>
        <w:ind w:left="0"/>
        <w:jc w:val="both"/>
      </w:pPr>
      <w:r>
        <w:rPr>
          <w:rFonts w:ascii="Times New Roman"/>
          <w:b w:val="false"/>
          <w:i w:val="false"/>
          <w:color w:val="000000"/>
          <w:sz w:val="28"/>
        </w:rPr>
        <w:t>
      зергерлік бұйымдар – бір адамға 5 (бес) заттан артық;</w:t>
      </w:r>
    </w:p>
    <w:p>
      <w:pPr>
        <w:spacing w:after="0"/>
        <w:ind w:left="0"/>
        <w:jc w:val="both"/>
      </w:pPr>
      <w:r>
        <w:rPr>
          <w:rFonts w:ascii="Times New Roman"/>
          <w:b w:val="false"/>
          <w:i w:val="false"/>
          <w:color w:val="000000"/>
          <w:sz w:val="28"/>
        </w:rPr>
        <w:t>
      велосипед – бір адамға 1 (бір) бірліктен артық;</w:t>
      </w:r>
    </w:p>
    <w:p>
      <w:pPr>
        <w:spacing w:after="0"/>
        <w:ind w:left="0"/>
        <w:jc w:val="both"/>
      </w:pPr>
      <w:r>
        <w:rPr>
          <w:rFonts w:ascii="Times New Roman"/>
          <w:b w:val="false"/>
          <w:i w:val="false"/>
          <w:color w:val="000000"/>
          <w:sz w:val="28"/>
        </w:rPr>
        <w:t>
      балалар арбасы – бір адамға 2 (екі) бірліктен артық;</w:t>
      </w:r>
    </w:p>
    <w:p>
      <w:pPr>
        <w:spacing w:after="0"/>
        <w:ind w:left="0"/>
        <w:jc w:val="both"/>
      </w:pPr>
      <w:r>
        <w:rPr>
          <w:rFonts w:ascii="Times New Roman"/>
          <w:b w:val="false"/>
          <w:i w:val="false"/>
          <w:color w:val="000000"/>
          <w:sz w:val="28"/>
        </w:rPr>
        <w:t>
      көлік құралдары, оның ішінде құрастырылмаған түрінде – 1 (бір) бірліктен артық.</w:t>
      </w:r>
    </w:p>
    <w:p>
      <w:pPr>
        <w:spacing w:after="0"/>
        <w:ind w:left="0"/>
        <w:jc w:val="both"/>
      </w:pPr>
      <w:r>
        <w:rPr>
          <w:rFonts w:ascii="Times New Roman"/>
          <w:b w:val="false"/>
          <w:i w:val="false"/>
          <w:color w:val="000000"/>
          <w:sz w:val="28"/>
        </w:rPr>
        <w:t>
      Өлшемшарттар бұрын қолданыста болған және жол жүруге және (немесе) межелі орында қажетті және:</w:t>
      </w:r>
    </w:p>
    <w:p>
      <w:pPr>
        <w:spacing w:after="0"/>
        <w:ind w:left="0"/>
        <w:jc w:val="both"/>
      </w:pPr>
      <w:r>
        <w:rPr>
          <w:rFonts w:ascii="Times New Roman"/>
          <w:b w:val="false"/>
          <w:i w:val="false"/>
          <w:color w:val="000000"/>
          <w:sz w:val="28"/>
        </w:rPr>
        <w:t>
      жол жүруге және (немесе) межелі орында, оның ішінде маусымдылығын, жол жүру мақсатын, көлік түрін ескере отырып пайдалану;</w:t>
      </w:r>
    </w:p>
    <w:p>
      <w:pPr>
        <w:spacing w:after="0"/>
        <w:ind w:left="0"/>
        <w:jc w:val="both"/>
      </w:pPr>
      <w:r>
        <w:rPr>
          <w:rFonts w:ascii="Times New Roman"/>
          <w:b w:val="false"/>
          <w:i w:val="false"/>
          <w:color w:val="000000"/>
          <w:sz w:val="28"/>
        </w:rPr>
        <w:t>
      тозу, оның ішінде сызаттар, майысулар, өзге де механикалық зақымданулар, жуу;</w:t>
      </w:r>
    </w:p>
    <w:p>
      <w:pPr>
        <w:spacing w:after="0"/>
        <w:ind w:left="0"/>
        <w:jc w:val="both"/>
      </w:pPr>
      <w:r>
        <w:rPr>
          <w:rFonts w:ascii="Times New Roman"/>
          <w:b w:val="false"/>
          <w:i w:val="false"/>
          <w:color w:val="000000"/>
          <w:sz w:val="28"/>
        </w:rPr>
        <w:t>
      жапсырмалардың, заттаңбаларының, этикеткалардың, бастапқы орамдарының болмауы жағдайындағы тауарларға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17.01.2022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"Тауарларды кәсіпкерлік қызмет мақсатында импортталатындарға жатқызу өлшемшартын бекіту туралы" Қазақстан Республикасы Қаржы министрінің 2015 жылғы 29 желтоқсандағы № 717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12746 болып тіркелген, "Әділет" ақпараттық-құқықтық жүйесінде 2016 жылғы 25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