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8327" w14:textId="0a08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зейнетақы активтерін есепке алу мен бағалау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қаңтардағы № 10 қаулысы. Қазақстан Республикасының Әділет министрлігінде 2018 жылғы 27 ақпанда № 16436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8765 тіркелген, 2013 жылғы 31 қазанда "Заң газеті" газетінде № 163 (2364)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"Зейнетақы активтері бойынша операциялар туралы ақпаратты есепке алу және жария ету" қаржылық есептілік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Сыйақы түріндегі кірісті немесе шығысты есептеу күнделікті негізде жүзеге асырылады.</w:t>
      </w:r>
    </w:p>
    <w:p>
      <w:pPr>
        <w:spacing w:after="0"/>
        <w:ind w:left="0"/>
        <w:jc w:val="both"/>
      </w:pPr>
      <w:r>
        <w:rPr>
          <w:rFonts w:ascii="Times New Roman"/>
          <w:b w:val="false"/>
          <w:i w:val="false"/>
          <w:color w:val="000000"/>
          <w:sz w:val="28"/>
        </w:rPr>
        <w:t>
      Амортизацияланған құны бойынша бағаланатын және әділ құны бойынша бағаланатын қаржы активтері бойынша дисконттың немесе сыйлықақының амортизациясы күн сайынғы негізде жүзеге асырылады.</w:t>
      </w:r>
    </w:p>
    <w:p>
      <w:pPr>
        <w:spacing w:after="0"/>
        <w:ind w:left="0"/>
        <w:jc w:val="both"/>
      </w:pPr>
      <w:r>
        <w:rPr>
          <w:rFonts w:ascii="Times New Roman"/>
          <w:b w:val="false"/>
          <w:i w:val="false"/>
          <w:color w:val="000000"/>
          <w:sz w:val="28"/>
        </w:rPr>
        <w:t>
      "Амортизацияланған құны бойынша бағаланатындар" санатында есепке алынатын қаржы активтерінің құнсыздану сомасы Бағалау қағидаларына сәйкес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"13. "Әділ құны бойынша бағаланатындар" санатына жіктелген қаржы активтерін есепке алу әділ құн бойынша жүзеге асырылады. Әділ құны бойынша бағаланатын қаржы активтерін қайта бағалау Бағалау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Қордың қаржылық есептілігі Қазақстан Республикасының аумағында Қазақстан Республикасының ұлттық валютасымен ұсынылады.</w:t>
      </w:r>
    </w:p>
    <w:p>
      <w:pPr>
        <w:spacing w:after="0"/>
        <w:ind w:left="0"/>
        <w:jc w:val="both"/>
      </w:pPr>
      <w:r>
        <w:rPr>
          <w:rFonts w:ascii="Times New Roman"/>
          <w:b w:val="false"/>
          <w:i w:val="false"/>
          <w:color w:val="000000"/>
          <w:sz w:val="28"/>
        </w:rPr>
        <w:t>
      Қордың жылдық қаржылық есептілігі ағымдағы жылдың деректерін және кемінде өткен жылдың салыстырмалы деректерін қамтиды.</w:t>
      </w:r>
    </w:p>
    <w:p>
      <w:pPr>
        <w:spacing w:after="0"/>
        <w:ind w:left="0"/>
        <w:jc w:val="both"/>
      </w:pPr>
      <w:r>
        <w:rPr>
          <w:rFonts w:ascii="Times New Roman"/>
          <w:b w:val="false"/>
          <w:i w:val="false"/>
          <w:color w:val="000000"/>
          <w:sz w:val="28"/>
        </w:rPr>
        <w:t>
      Қордың зейнетақы активтері бойынша қаржылық есептілігі қордың меншікті активтері бойынша қаржылық есептіліктен бөлек жасалады.</w:t>
      </w:r>
    </w:p>
    <w:p>
      <w:pPr>
        <w:spacing w:after="0"/>
        <w:ind w:left="0"/>
        <w:jc w:val="both"/>
      </w:pPr>
      <w:r>
        <w:rPr>
          <w:rFonts w:ascii="Times New Roman"/>
          <w:b w:val="false"/>
          <w:i w:val="false"/>
          <w:color w:val="000000"/>
          <w:sz w:val="28"/>
        </w:rPr>
        <w:t>
      Зейнетақы активтері бойынша жасалатын жылдық қаржылық есептілік зейнетақы активтері бойынша бухгалтерлік баланстан, зейнетақы активтері бойынша пайда мен залал туралы есептен және түсіндірме жазбадан тұрады.</w:t>
      </w:r>
    </w:p>
    <w:p>
      <w:pPr>
        <w:spacing w:after="0"/>
        <w:ind w:left="0"/>
        <w:jc w:val="both"/>
      </w:pPr>
      <w:r>
        <w:rPr>
          <w:rFonts w:ascii="Times New Roman"/>
          <w:b w:val="false"/>
          <w:i w:val="false"/>
          <w:color w:val="000000"/>
          <w:sz w:val="28"/>
        </w:rPr>
        <w:t>
      Түсіндірме жазба зейнетақы активтері бойынша бухгалтерлік баланстың деректерін толықтыратын ақпаратты және зейнетақы активтері бойынша пайда мен залал туралы есепті қамтиды.</w:t>
      </w:r>
    </w:p>
    <w:p>
      <w:pPr>
        <w:spacing w:after="0"/>
        <w:ind w:left="0"/>
        <w:jc w:val="both"/>
      </w:pPr>
      <w:r>
        <w:rPr>
          <w:rFonts w:ascii="Times New Roman"/>
          <w:b w:val="false"/>
          <w:i w:val="false"/>
          <w:color w:val="000000"/>
          <w:sz w:val="28"/>
        </w:rPr>
        <w:t>
      Түсіндірме жазбаға қордың қаржылық есептілігінде ашып көрсетілген бухгалтерлік баптардың сипаты немесе егжей-тегжейлі талдамалары, сондай-ақ қордың қаржылық есептілігінде тануға жатпайтын бухгалтерлік баптар туралы ақпарат кіреді.</w:t>
      </w:r>
    </w:p>
    <w:p>
      <w:pPr>
        <w:spacing w:after="0"/>
        <w:ind w:left="0"/>
        <w:jc w:val="both"/>
      </w:pPr>
      <w:r>
        <w:rPr>
          <w:rFonts w:ascii="Times New Roman"/>
          <w:b w:val="false"/>
          <w:i w:val="false"/>
          <w:color w:val="000000"/>
          <w:sz w:val="28"/>
        </w:rPr>
        <w:t>
      Түсіндірме жазбада хеджирлеу құралы және оған байланысты хеджирленетін бап, хеджирленетін тәуекелдің сипаты, сондай-ақ хеджирлеу құралының тиімділігін бағалау туралы ақпарат көрсетіледі.</w:t>
      </w:r>
    </w:p>
    <w:p>
      <w:pPr>
        <w:spacing w:after="0"/>
        <w:ind w:left="0"/>
        <w:jc w:val="both"/>
      </w:pPr>
      <w:r>
        <w:rPr>
          <w:rFonts w:ascii="Times New Roman"/>
          <w:b w:val="false"/>
          <w:i w:val="false"/>
          <w:color w:val="000000"/>
          <w:sz w:val="28"/>
        </w:rPr>
        <w:t>
      Жылдық қаржылық есептілікте қаржы құралдары бойынша ақпарат жариялаған кезде қаржы құралдарының әділ құнын айқындау Бағалау қағидаларына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26.06.2023 </w:t>
      </w:r>
      <w:r>
        <w:rPr>
          <w:rFonts w:ascii="Times New Roman"/>
          <w:b w:val="false"/>
          <w:i w:val="false"/>
          <w:color w:val="000000"/>
          <w:sz w:val="28"/>
        </w:rPr>
        <w:t>№ 5</w:t>
      </w:r>
      <w:r>
        <w:rPr>
          <w:rFonts w:ascii="Times New Roman"/>
          <w:b w:val="false"/>
          <w:i w:val="false"/>
          <w:color w:val="ff0000"/>
          <w:sz w:val="28"/>
        </w:rPr>
        <w:t>8 (01.07.2023 бастап қолданысқа енгізіледі) қаулысымен.</w:t>
      </w:r>
      <w:r>
        <w:br/>
      </w:r>
      <w:r>
        <w:rPr>
          <w:rFonts w:ascii="Times New Roman"/>
          <w:b w:val="false"/>
          <w:i w:val="false"/>
          <w:color w:val="000000"/>
          <w:sz w:val="28"/>
        </w:rPr>
        <w:t>
</w:t>
      </w:r>
    </w:p>
    <w:bookmarkStart w:name="z26" w:id="3"/>
    <w:p>
      <w:pPr>
        <w:spacing w:after="0"/>
        <w:ind w:left="0"/>
        <w:jc w:val="both"/>
      </w:pPr>
      <w:r>
        <w:rPr>
          <w:rFonts w:ascii="Times New Roman"/>
          <w:b w:val="false"/>
          <w:i w:val="false"/>
          <w:color w:val="000000"/>
          <w:sz w:val="28"/>
        </w:rPr>
        <w:t>
      3. Банктік емес қаржы ұйымдарын реттеу департаменті  (Шайқақова Г.Ж.)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Start w:name="z27"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28"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5"/>
    <w:bookmarkStart w:name="z29"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_______________Б. Сұлтанов</w:t>
      </w:r>
    </w:p>
    <w:p>
      <w:pPr>
        <w:spacing w:after="0"/>
        <w:ind w:left="0"/>
        <w:jc w:val="both"/>
      </w:pPr>
      <w:r>
        <w:rPr>
          <w:rFonts w:ascii="Times New Roman"/>
          <w:b w:val="false"/>
          <w:i w:val="false"/>
          <w:color w:val="000000"/>
          <w:sz w:val="28"/>
        </w:rPr>
        <w:t>
      2018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