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f7b37" w14:textId="61f7b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үкіметтің" сыртқы шлюзінің жұмыс істеу қағидаларын және оған қойылатын техникалық талаптарды бекіту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м.а. 2018 жылғы 29 наурыздағы № 124 бұйрығы. Қазақстан Республикасының Әділет министрлігінде 2018 жылғы 19 сәуірде № 16775 болып тіркелді.</w:t>
      </w:r>
    </w:p>
    <w:p>
      <w:pPr>
        <w:spacing w:after="0"/>
        <w:ind w:left="0"/>
        <w:jc w:val="both"/>
      </w:pPr>
      <w:bookmarkStart w:name="z1" w:id="0"/>
      <w:r>
        <w:rPr>
          <w:rFonts w:ascii="Times New Roman"/>
          <w:b w:val="false"/>
          <w:i w:val="false"/>
          <w:color w:val="000000"/>
          <w:sz w:val="28"/>
        </w:rPr>
        <w:t xml:space="preserve">
      "Ақпараттандыру туралы" 2015 жылғы 24 қарашадағы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13-1) тармақшасына сәйкес БҰЙЫРАМЫН: </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үкіметтің" сыртқы шлюзінің жұмыс істеу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үкіметтің" сыртқы шлюзіне қойылатын техникалық талаптар бекітілсін.</w:t>
      </w:r>
    </w:p>
    <w:bookmarkEnd w:id="3"/>
    <w:bookmarkStart w:name="z5" w:id="4"/>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"Электрондық үкіметті" және мемлекеттік көрсетілетін қызметтерді дамыту департаменті:</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Ақпарат және коммуникациялар</w:t>
            </w:r>
            <w:r>
              <w:br/>
            </w: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Әжібаев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2018 жылғы 29 наурыздағы</w:t>
            </w:r>
            <w:r>
              <w:br/>
            </w:r>
            <w:r>
              <w:rPr>
                <w:rFonts w:ascii="Times New Roman"/>
                <w:b w:val="false"/>
                <w:i w:val="false"/>
                <w:color w:val="000000"/>
                <w:sz w:val="20"/>
              </w:rPr>
              <w:t>№ 124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"Электрондық үкіметтің" сыртқы шлюзінің жұмыс істеу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"Электрондық үкіметтің" сыртқы шлюзінің жұмыс істеу қағидалары (бұдан әрі – Қағидалар) "Ақпараттандыру туралы" 2015 жылғы 24 қарашадағы Қазақстан Республикасының Заңы (бұдан әрі – Заң) </w:t>
      </w:r>
      <w:r>
        <w:rPr>
          <w:rFonts w:ascii="Times New Roman"/>
          <w:b w:val="false"/>
          <w:i w:val="false"/>
          <w:color w:val="000000"/>
          <w:sz w:val="28"/>
        </w:rPr>
        <w:t>7-бабының</w:t>
      </w:r>
      <w:r>
        <w:rPr>
          <w:rFonts w:ascii="Times New Roman"/>
          <w:b w:val="false"/>
          <w:i w:val="false"/>
          <w:color w:val="000000"/>
          <w:sz w:val="28"/>
        </w:rPr>
        <w:t xml:space="preserve"> 13-1) тармақшасына сәйкес әзірленді және "Электрондық үкіметтің" сыртқы шлюзінің жұмыс істеу тәртібін айқындайды.</w:t>
      </w:r>
    </w:p>
    <w:bookmarkEnd w:id="13"/>
    <w:bookmarkStart w:name="z16"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bookmarkStart w:name="z17" w:id="15"/>
    <w:p>
      <w:pPr>
        <w:spacing w:after="0"/>
        <w:ind w:left="0"/>
        <w:jc w:val="both"/>
      </w:pPr>
      <w:r>
        <w:rPr>
          <w:rFonts w:ascii="Times New Roman"/>
          <w:b w:val="false"/>
          <w:i w:val="false"/>
          <w:color w:val="000000"/>
          <w:sz w:val="28"/>
        </w:rPr>
        <w:t>
      1) ақпараттандыру объектілері – электрондық ақпараттық ресурстар, бағдарламалық қамтылым және ақпараттық-коммуникациялық инфрақұрылым;</w:t>
      </w:r>
    </w:p>
    <w:bookmarkEnd w:id="15"/>
    <w:bookmarkStart w:name="z18" w:id="16"/>
    <w:p>
      <w:pPr>
        <w:spacing w:after="0"/>
        <w:ind w:left="0"/>
        <w:jc w:val="both"/>
      </w:pPr>
      <w:r>
        <w:rPr>
          <w:rFonts w:ascii="Times New Roman"/>
          <w:b w:val="false"/>
          <w:i w:val="false"/>
          <w:color w:val="000000"/>
          <w:sz w:val="28"/>
        </w:rPr>
        <w:t>
      2) ақпараттық жүйе (бұдан әрі – АЖ)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6"/>
    <w:bookmarkStart w:name="z19" w:id="17"/>
    <w:p>
      <w:pPr>
        <w:spacing w:after="0"/>
        <w:ind w:left="0"/>
        <w:jc w:val="both"/>
      </w:pPr>
      <w:r>
        <w:rPr>
          <w:rFonts w:ascii="Times New Roman"/>
          <w:b w:val="false"/>
          <w:i w:val="false"/>
          <w:color w:val="000000"/>
          <w:sz w:val="28"/>
        </w:rPr>
        <w:t>
      3) ақпараттық объектілерінің интеграциясы – деректерді берудің Қазақстан Республикасында пайдаланылатын стандарттық хаттамалары негізінде екі және одан да көп ақпараттық жүйе арасындағы ақпараттық өзара іс-қимылды ұйымдастыру және қамтамасыз ету жөніндегі іс-шаралар;</w:t>
      </w:r>
    </w:p>
    <w:bookmarkEnd w:id="17"/>
    <w:bookmarkStart w:name="z20" w:id="18"/>
    <w:p>
      <w:pPr>
        <w:spacing w:after="0"/>
        <w:ind w:left="0"/>
        <w:jc w:val="both"/>
      </w:pPr>
      <w:r>
        <w:rPr>
          <w:rFonts w:ascii="Times New Roman"/>
          <w:b w:val="false"/>
          <w:i w:val="false"/>
          <w:color w:val="000000"/>
          <w:sz w:val="28"/>
        </w:rPr>
        <w:t>
      4) көліктік қолтаңба – АЖ-ның ақпараттық өзара іс-қимылы кезінде веб-сервистер қауіпсіздігі (Web Service Security) ерекшілігін қолданумен жіберілетін хабарламалардың тұтастығы мен авторлығын қамтамасыз ету үшін пайдаланылатын электрондық цифрлық қолтаңба;</w:t>
      </w:r>
    </w:p>
    <w:bookmarkEnd w:id="18"/>
    <w:bookmarkStart w:name="z21" w:id="19"/>
    <w:p>
      <w:pPr>
        <w:spacing w:after="0"/>
        <w:ind w:left="0"/>
        <w:jc w:val="both"/>
      </w:pPr>
      <w:r>
        <w:rPr>
          <w:rFonts w:ascii="Times New Roman"/>
          <w:b w:val="false"/>
          <w:i w:val="false"/>
          <w:color w:val="000000"/>
          <w:sz w:val="28"/>
        </w:rPr>
        <w:t>
      5) кеңейтілетін белгілеу тілі (eXtensible Markup Language) (бұдан әрі – XML) – құрылымдық және машинада оқылатын форматтағы мәліметтерді сақтау және тасымалдау үшін қолданылатын кеңейтілетін белгілеу тілі;</w:t>
      </w:r>
    </w:p>
    <w:bookmarkEnd w:id="19"/>
    <w:bookmarkStart w:name="z22" w:id="20"/>
    <w:p>
      <w:pPr>
        <w:spacing w:after="0"/>
        <w:ind w:left="0"/>
        <w:jc w:val="both"/>
      </w:pPr>
      <w:r>
        <w:rPr>
          <w:rFonts w:ascii="Times New Roman"/>
          <w:b w:val="false"/>
          <w:i w:val="false"/>
          <w:color w:val="000000"/>
          <w:sz w:val="28"/>
        </w:rPr>
        <w:t xml:space="preserve">
      6) мемлекеттік органдардың бірыңғай көліктік ортасы (бұдан әрі – МО БКО) – "электрондық үкiметтiң" ақпараттық-коммуникациялық инфрақұрылымына кіретін және ақпараттық қауіпсіздіктің </w:t>
      </w:r>
      <w:r>
        <w:rPr>
          <w:rFonts w:ascii="Times New Roman"/>
          <w:b w:val="false"/>
          <w:i w:val="false"/>
          <w:color w:val="000000"/>
          <w:sz w:val="28"/>
        </w:rPr>
        <w:t>талап етілетін деңгейін</w:t>
      </w:r>
      <w:r>
        <w:rPr>
          <w:rFonts w:ascii="Times New Roman"/>
          <w:b w:val="false"/>
          <w:i w:val="false"/>
          <w:color w:val="000000"/>
          <w:sz w:val="28"/>
        </w:rPr>
        <w:t xml:space="preserve"> сақтай отырып, мемлекеттік органдардың, олардың ведомстволық бағынысты ұйымдары мен жергілікті өзін-өзі басқару органдарының, сондай-ақ уәкілетті орган айқындаған өзге де ақпараттандыру субъектілерінің жергілікті (Интернетке қолжетімділігі бар жергілікті желілерді қоспағанда), ведомстволық және корпоративтік телекоммуникациялар желілерінің өзара іс-қимыл жасауын қамтамасыз етуге арналған телекоммуникациялар желісі;</w:t>
      </w:r>
    </w:p>
    <w:bookmarkEnd w:id="20"/>
    <w:bookmarkStart w:name="z23" w:id="21"/>
    <w:p>
      <w:pPr>
        <w:spacing w:after="0"/>
        <w:ind w:left="0"/>
        <w:jc w:val="both"/>
      </w:pPr>
      <w:r>
        <w:rPr>
          <w:rFonts w:ascii="Times New Roman"/>
          <w:b w:val="false"/>
          <w:i w:val="false"/>
          <w:color w:val="000000"/>
          <w:sz w:val="28"/>
        </w:rPr>
        <w:t>
      7) "электрондық үкімет" шлюзі (бұдан әрі – ЭҮШ) – "электрондық үкімет" шеңберінде мемлекеттік және мемлекеттік емес АЖ интеграциясына арналған АЖ;</w:t>
      </w:r>
    </w:p>
    <w:bookmarkEnd w:id="21"/>
    <w:bookmarkStart w:name="z24" w:id="22"/>
    <w:p>
      <w:pPr>
        <w:spacing w:after="0"/>
        <w:ind w:left="0"/>
        <w:jc w:val="both"/>
      </w:pPr>
      <w:r>
        <w:rPr>
          <w:rFonts w:ascii="Times New Roman"/>
          <w:b w:val="false"/>
          <w:i w:val="false"/>
          <w:color w:val="000000"/>
          <w:sz w:val="28"/>
        </w:rPr>
        <w:t>
      8) "электрондық үкіметтің" сыртқы шлюзі (бұдан әрі – ЭҮСШ) – МО БКО-да тұрған ақпараттық жүйелердің МО БКО-дан тыс тұрған ақпараттық жүйелермен өзара іс-қимылын қамтамасыз етуге арналған "электрондық үкімет" шлюзінің кіші жүйесі;</w:t>
      </w:r>
    </w:p>
    <w:bookmarkEnd w:id="22"/>
    <w:bookmarkStart w:name="z25" w:id="23"/>
    <w:p>
      <w:pPr>
        <w:spacing w:after="0"/>
        <w:ind w:left="0"/>
        <w:jc w:val="both"/>
      </w:pPr>
      <w:r>
        <w:rPr>
          <w:rFonts w:ascii="Times New Roman"/>
          <w:b w:val="false"/>
          <w:i w:val="false"/>
          <w:color w:val="000000"/>
          <w:sz w:val="28"/>
        </w:rPr>
        <w:t xml:space="preserve">
      9) "электрондық үкiметтiң" ақпараттық-коммуникациялық инфрақұрылымының операторы (бұдан әрі – оператор) – өзіне бекітіп берілген "электрондық үкiметтiң" ақпараттық-коммуникациялық инфрақұрылымының жұмыс істеуін қамтамасыз ету жүктелген, Қазақстан Республикасы Үкіметінің 2016 жылы 29 қаңтардағы № 40 </w:t>
      </w:r>
      <w:r>
        <w:rPr>
          <w:rFonts w:ascii="Times New Roman"/>
          <w:b w:val="false"/>
          <w:i w:val="false"/>
          <w:color w:val="000000"/>
          <w:sz w:val="28"/>
        </w:rPr>
        <w:t>қаулысымен</w:t>
      </w:r>
      <w:r>
        <w:rPr>
          <w:rFonts w:ascii="Times New Roman"/>
          <w:b w:val="false"/>
          <w:i w:val="false"/>
          <w:color w:val="000000"/>
          <w:sz w:val="28"/>
        </w:rPr>
        <w:t xml:space="preserve"> айқындалатын заңды тұлға;</w:t>
      </w:r>
    </w:p>
    <w:bookmarkEnd w:id="23"/>
    <w:bookmarkStart w:name="z26" w:id="24"/>
    <w:p>
      <w:pPr>
        <w:spacing w:after="0"/>
        <w:ind w:left="0"/>
        <w:jc w:val="both"/>
      </w:pPr>
      <w:r>
        <w:rPr>
          <w:rFonts w:ascii="Times New Roman"/>
          <w:b w:val="false"/>
          <w:i w:val="false"/>
          <w:color w:val="000000"/>
          <w:sz w:val="28"/>
        </w:rPr>
        <w:t>
      10) HyperText Transfer Protocol Secure кеңейтілген көліктік хаттамасы – қауіпсіздікті арттыру мақсатында шифрациялауды қолдайтын деректерді беру хаттамасы.</w:t>
      </w:r>
    </w:p>
    <w:bookmarkEnd w:id="24"/>
    <w:bookmarkStart w:name="z27" w:id="25"/>
    <w:p>
      <w:pPr>
        <w:spacing w:after="0"/>
        <w:ind w:left="0"/>
        <w:jc w:val="left"/>
      </w:pPr>
      <w:r>
        <w:rPr>
          <w:rFonts w:ascii="Times New Roman"/>
          <w:b/>
          <w:i w:val="false"/>
          <w:color w:val="000000"/>
        </w:rPr>
        <w:t xml:space="preserve"> 2-тарау. "Электрондық үкіметтің" сыртқы шлюзінің жұмыс істеу тәртібі</w:t>
      </w:r>
    </w:p>
    <w:bookmarkEnd w:id="25"/>
    <w:bookmarkStart w:name="z28" w:id="26"/>
    <w:p>
      <w:pPr>
        <w:spacing w:after="0"/>
        <w:ind w:left="0"/>
        <w:jc w:val="both"/>
      </w:pPr>
      <w:r>
        <w:rPr>
          <w:rFonts w:ascii="Times New Roman"/>
          <w:b w:val="false"/>
          <w:i w:val="false"/>
          <w:color w:val="000000"/>
          <w:sz w:val="28"/>
        </w:rPr>
        <w:t>
      3. ЭҮСШ жүйелі-техникалық қызмет көрсетуді, ЭҮСШ сервистерін басқару мен мониторингтеуді оператор ЭҮСШ үздіксіз жұмысын, ақпараттандыру объектілерінің үздіксіз өзара іс-қимылын, деректердің тұтастығын және оларды қорғауды қамтамасыз ету, ақпараттандыру объектілерінің өзара іс-қимылы кезіндегі қателіктерді пысықтау жолымен жүзеге асырады.</w:t>
      </w:r>
    </w:p>
    <w:bookmarkEnd w:id="26"/>
    <w:bookmarkStart w:name="z29" w:id="27"/>
    <w:p>
      <w:pPr>
        <w:spacing w:after="0"/>
        <w:ind w:left="0"/>
        <w:jc w:val="both"/>
      </w:pPr>
      <w:r>
        <w:rPr>
          <w:rFonts w:ascii="Times New Roman"/>
          <w:b w:val="false"/>
          <w:i w:val="false"/>
          <w:color w:val="000000"/>
          <w:sz w:val="28"/>
        </w:rPr>
        <w:t>
      4. МО БКО-дан тыс орналасқан АЖ-нің ЭҮШ интеграциясы ЭҮСШ арқылы жүзеге асырылады. ЭҮСШ МО БКО-дан тыс орналасқан АЖ-нің HTTPS хаттамасы бойынша сервирлер арасында XML хабарламаларды беру арқылы жүзеге асырылады. ЭҮСШ АЖ-нің өзара іс-қимылын қамтамасыз етеді және ол арқылы өзара іс-қимыл жасайтын АЖ-нің ішкі архитектурасына тәуелді.</w:t>
      </w:r>
    </w:p>
    <w:bookmarkEnd w:id="27"/>
    <w:bookmarkStart w:name="z30" w:id="28"/>
    <w:p>
      <w:pPr>
        <w:spacing w:after="0"/>
        <w:ind w:left="0"/>
        <w:jc w:val="both"/>
      </w:pPr>
      <w:r>
        <w:rPr>
          <w:rFonts w:ascii="Times New Roman"/>
          <w:b w:val="false"/>
          <w:i w:val="false"/>
          <w:color w:val="000000"/>
          <w:sz w:val="28"/>
        </w:rPr>
        <w:t xml:space="preserve">
      5.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бірыңғай талаптардың </w:t>
      </w:r>
      <w:r>
        <w:rPr>
          <w:rFonts w:ascii="Times New Roman"/>
          <w:b w:val="false"/>
          <w:i w:val="false"/>
          <w:color w:val="000000"/>
          <w:sz w:val="28"/>
        </w:rPr>
        <w:t>48-тармағына</w:t>
      </w:r>
      <w:r>
        <w:rPr>
          <w:rFonts w:ascii="Times New Roman"/>
          <w:b w:val="false"/>
          <w:i w:val="false"/>
          <w:color w:val="000000"/>
          <w:sz w:val="28"/>
        </w:rPr>
        <w:t xml:space="preserve"> сәйкес ЭҮСШ арқылы АЖ өзара іс-қимылы ақпараттарды криптографикалық қорғауды қамтамасыз етеді.</w:t>
      </w:r>
    </w:p>
    <w:bookmarkEnd w:id="28"/>
    <w:bookmarkStart w:name="z31" w:id="29"/>
    <w:p>
      <w:pPr>
        <w:spacing w:after="0"/>
        <w:ind w:left="0"/>
        <w:jc w:val="both"/>
      </w:pPr>
      <w:r>
        <w:rPr>
          <w:rFonts w:ascii="Times New Roman"/>
          <w:b w:val="false"/>
          <w:i w:val="false"/>
          <w:color w:val="000000"/>
          <w:sz w:val="28"/>
        </w:rPr>
        <w:t>
      6. МО БКО тыс тұрған АҚ-мен өзара іс-қимыл кезінде көліктік қолтаңбаны тексеру ЭҮСШ-те орындалады. ЭҮСШ көліктік қолтаңбасы уақыт белгісін қамтымайды.</w:t>
      </w:r>
    </w:p>
    <w:bookmarkEnd w:id="29"/>
    <w:bookmarkStart w:name="z32" w:id="30"/>
    <w:p>
      <w:pPr>
        <w:spacing w:after="0"/>
        <w:ind w:left="0"/>
        <w:jc w:val="both"/>
      </w:pPr>
      <w:r>
        <w:rPr>
          <w:rFonts w:ascii="Times New Roman"/>
          <w:b w:val="false"/>
          <w:i w:val="false"/>
          <w:color w:val="000000"/>
          <w:sz w:val="28"/>
        </w:rPr>
        <w:t>
      7. ЭҮСШ тәуліктік режимде жұмыс істейді, ақпараттандыру объектілері ЭҮСШ тарапынан жоспарлы және жоспарлы емес жұмыстары бар технологиялық үзілістерді қоспағанда, хабарламаларды тұрақты негізінде қабылдайды. ЭҮСШ-дағы жоспарлы жұмыстар айына екі реттен көп емес жүргізіледі, ал жоспарлы емес жұмыстар ЭҮСШ-да тоқтаусыз жаңарту қажет болған жағдайда жүргізіледі.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2018 жылғы 29 наурыздағы</w:t>
            </w:r>
            <w:r>
              <w:br/>
            </w:r>
            <w:r>
              <w:rPr>
                <w:rFonts w:ascii="Times New Roman"/>
                <w:b w:val="false"/>
                <w:i w:val="false"/>
                <w:color w:val="000000"/>
                <w:sz w:val="20"/>
              </w:rPr>
              <w:t>№ 124 бұйрығына</w:t>
            </w:r>
            <w:r>
              <w:br/>
            </w:r>
            <w:r>
              <w:rPr>
                <w:rFonts w:ascii="Times New Roman"/>
                <w:b w:val="false"/>
                <w:i w:val="false"/>
                <w:color w:val="000000"/>
                <w:sz w:val="20"/>
              </w:rPr>
              <w:t>2-қосымша</w:t>
            </w:r>
          </w:p>
        </w:tc>
      </w:tr>
    </w:tbl>
    <w:bookmarkStart w:name="z34" w:id="31"/>
    <w:p>
      <w:pPr>
        <w:spacing w:after="0"/>
        <w:ind w:left="0"/>
        <w:jc w:val="left"/>
      </w:pPr>
      <w:r>
        <w:rPr>
          <w:rFonts w:ascii="Times New Roman"/>
          <w:b/>
          <w:i w:val="false"/>
          <w:color w:val="000000"/>
        </w:rPr>
        <w:t xml:space="preserve"> "Электрондық үкіметтің" сыртқы шлюзіне қойылатын техникалық талаптар</w:t>
      </w:r>
    </w:p>
    <w:bookmarkEnd w:id="31"/>
    <w:bookmarkStart w:name="z35" w:id="32"/>
    <w:p>
      <w:pPr>
        <w:spacing w:after="0"/>
        <w:ind w:left="0"/>
        <w:jc w:val="both"/>
      </w:pPr>
      <w:r>
        <w:rPr>
          <w:rFonts w:ascii="Times New Roman"/>
          <w:b w:val="false"/>
          <w:i w:val="false"/>
          <w:color w:val="000000"/>
          <w:sz w:val="28"/>
        </w:rPr>
        <w:t>
      Ақпараттық жүйелер арасында деректермен алмасу мынадай техникалық талаптарға сәйкес болуы қажет:</w:t>
      </w:r>
    </w:p>
    <w:bookmarkEnd w:id="32"/>
    <w:bookmarkStart w:name="z36" w:id="33"/>
    <w:p>
      <w:pPr>
        <w:spacing w:after="0"/>
        <w:ind w:left="0"/>
        <w:jc w:val="both"/>
      </w:pPr>
      <w:r>
        <w:rPr>
          <w:rFonts w:ascii="Times New Roman"/>
          <w:b w:val="false"/>
          <w:i w:val="false"/>
          <w:color w:val="000000"/>
          <w:sz w:val="28"/>
        </w:rPr>
        <w:t>
      Қазақстан Республикасының Ұлттық куәландырушы орталығы (бұдан әрі – ҚР ҰКО) берген Secure Sockets Layer-сертификатын (сокеттің қорғалған деңгейі) (бұдан әрі – SSL) пайдалана отырып, HyperText Transfer Protocol Secure (қауіпсіздікті арттыру мақсатында шифрлауды қолдай отырып, деректерді беру хаттамасы) (бұдан әрі – НTTPS) кеңейтілген көліктік хаттамасы. HTTPS хаттамасындағы деректер SSL немесе Transport Layer Security (көліктік деңгейді қорғау хаттамасы) криптографиялық хаттамаларының үстінен беріледі;</w:t>
      </w:r>
    </w:p>
    <w:bookmarkEnd w:id="33"/>
    <w:bookmarkStart w:name="z37" w:id="34"/>
    <w:p>
      <w:pPr>
        <w:spacing w:after="0"/>
        <w:ind w:left="0"/>
        <w:jc w:val="both"/>
      </w:pPr>
      <w:r>
        <w:rPr>
          <w:rFonts w:ascii="Times New Roman"/>
          <w:b w:val="false"/>
          <w:i w:val="false"/>
          <w:color w:val="000000"/>
          <w:sz w:val="28"/>
        </w:rPr>
        <w:t>
      Simple Object Access Protocol өзара іс-қимыл хаттамасы (ақпараттық жүйелерді интеграциялау кезінде хабарламалар беру үшін XML-ге негізделген объектілерге қол жеткізудің жай хаттамасы) (бұдан әрі – SOAP);</w:t>
      </w:r>
    </w:p>
    <w:bookmarkEnd w:id="34"/>
    <w:bookmarkStart w:name="z38" w:id="35"/>
    <w:p>
      <w:pPr>
        <w:spacing w:after="0"/>
        <w:ind w:left="0"/>
        <w:jc w:val="both"/>
      </w:pPr>
      <w:r>
        <w:rPr>
          <w:rFonts w:ascii="Times New Roman"/>
          <w:b w:val="false"/>
          <w:i w:val="false"/>
          <w:color w:val="000000"/>
          <w:sz w:val="28"/>
        </w:rPr>
        <w:t>
      веб-тәсілдер мен олардың параметрлеріне арналған берілетін eXtensible Markup Language деректерінің форматы (құрылымдық және машинада оқылатын форматтағы деректерді сақтау және тасымалдау үшін пайдаланатын кеңейтілетін белгілеу тілі) (бұдан әрі – XML);</w:t>
      </w:r>
    </w:p>
    <w:bookmarkEnd w:id="35"/>
    <w:bookmarkStart w:name="z39" w:id="36"/>
    <w:p>
      <w:pPr>
        <w:spacing w:after="0"/>
        <w:ind w:left="0"/>
        <w:jc w:val="both"/>
      </w:pPr>
      <w:r>
        <w:rPr>
          <w:rFonts w:ascii="Times New Roman"/>
          <w:b w:val="false"/>
          <w:i w:val="false"/>
          <w:color w:val="000000"/>
          <w:sz w:val="28"/>
        </w:rPr>
        <w:t>
      WSDL Web Services Description Language сипаттау тілі (XML тілінде негізделген веб-сервистерді және оларға қол жеткізуді сипаттайтын тілі);</w:t>
      </w:r>
    </w:p>
    <w:bookmarkEnd w:id="36"/>
    <w:bookmarkStart w:name="z40" w:id="37"/>
    <w:p>
      <w:pPr>
        <w:spacing w:after="0"/>
        <w:ind w:left="0"/>
        <w:jc w:val="both"/>
      </w:pPr>
      <w:r>
        <w:rPr>
          <w:rFonts w:ascii="Times New Roman"/>
          <w:b w:val="false"/>
          <w:i w:val="false"/>
          <w:color w:val="000000"/>
          <w:sz w:val="28"/>
        </w:rPr>
        <w:t>
      электрондық цифрлық қолтаңбамен (бұдан әрі – ЭЦҚ) қол қойылатын, деректер құрылымдарын сипаттауға арналған XML Schema definition XSD тілі (XML құжаттың құрылымын сипаттайтын тіл);</w:t>
      </w:r>
    </w:p>
    <w:bookmarkEnd w:id="37"/>
    <w:bookmarkStart w:name="z41" w:id="38"/>
    <w:p>
      <w:pPr>
        <w:spacing w:after="0"/>
        <w:ind w:left="0"/>
        <w:jc w:val="both"/>
      </w:pPr>
      <w:r>
        <w:rPr>
          <w:rFonts w:ascii="Times New Roman"/>
          <w:b w:val="false"/>
          <w:i w:val="false"/>
          <w:color w:val="000000"/>
          <w:sz w:val="28"/>
        </w:rPr>
        <w:t>
      ЭЦҚ қол қойылған XML-файлының құрылымы "XML-Signature Syntax and Processing"World Wide Web Consortium консорциумінің (Дүниежүзілік тор консорциумы, Дүниежүзілік торға арналған технологиялық стандарттарды әзірлейтін және енгізетін ұйым) (синтаксис және XML қолтаңбасын өңдеу) ерекшелігіне сәйкес келуі тиіс;</w:t>
      </w:r>
    </w:p>
    <w:bookmarkEnd w:id="38"/>
    <w:bookmarkStart w:name="z42" w:id="39"/>
    <w:p>
      <w:pPr>
        <w:spacing w:after="0"/>
        <w:ind w:left="0"/>
        <w:jc w:val="both"/>
      </w:pPr>
      <w:r>
        <w:rPr>
          <w:rFonts w:ascii="Times New Roman"/>
          <w:b w:val="false"/>
          <w:i w:val="false"/>
          <w:color w:val="000000"/>
          <w:sz w:val="28"/>
        </w:rPr>
        <w:t>
      ҚР ҰКО берген Web Service Security (веб-сервистердің қауіпсіздігі, SOAP веб-сервистері арасында хабарламалармен алмасу кезіндегі қауіпсіздік функцияларын қолдану стандарты) қолдана отырып, жүйелердің ЭЦҚ;</w:t>
      </w:r>
    </w:p>
    <w:bookmarkEnd w:id="39"/>
    <w:bookmarkStart w:name="z43" w:id="40"/>
    <w:p>
      <w:pPr>
        <w:spacing w:after="0"/>
        <w:ind w:left="0"/>
        <w:jc w:val="both"/>
      </w:pPr>
      <w:r>
        <w:rPr>
          <w:rFonts w:ascii="Times New Roman"/>
          <w:b w:val="false"/>
          <w:i w:val="false"/>
          <w:color w:val="000000"/>
          <w:sz w:val="28"/>
        </w:rPr>
        <w:t>
      Деректерді беру үшін Transmission Control Protocol (деректерді беруді басқаруға арналған интернет деректерін берудегі негізгі хаттамалардың бірі) / Internet Protocol (цифрлау түрінде ұсынылған деректерді берудің желілік моделі) көліктік хаттамасы қолданылады);</w:t>
      </w:r>
    </w:p>
    <w:bookmarkEnd w:id="40"/>
    <w:bookmarkStart w:name="z44" w:id="41"/>
    <w:p>
      <w:pPr>
        <w:spacing w:after="0"/>
        <w:ind w:left="0"/>
        <w:jc w:val="both"/>
      </w:pPr>
      <w:r>
        <w:rPr>
          <w:rFonts w:ascii="Times New Roman"/>
          <w:b w:val="false"/>
          <w:i w:val="false"/>
          <w:color w:val="000000"/>
          <w:sz w:val="28"/>
        </w:rPr>
        <w:t>
      Virtual Private Network-туннелімен (екі тораптың ақпаратымен алмасуға арналған виртуалды жекеменшік желісі) ЭҮСШ арқылы өзара іс-қимыл жасау.</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