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5476" w14:textId="6375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пайдалануға арналған биологиялық негіздеме дайындау қағидаларын бекіту туралы" Қазақстан Республикасы Қоршаған орта және су ресурстары министрінің 2014 жылғы 4 сәуірдегі № 104-Ө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4 мамырдағы № 184 бұйрығы. Қазақстан Республикасының Әділет министрлігінде 2018 жылғы 24 мамырда № 16924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"Жануарлар дүниесін пайдалануға арналған биологиялық негіздеме дайындау қағидаларын бекіту туралы" Қазақстан Республикасы Қоршаған орта және су ресурстары министрінің 2014 жылғы 4 сәуірдегі № 104-Ө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9307 болып тіркелген, 2014 жылғы 14 сәуірде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Жануарлар дүниесін пайдалануға арналған биологиялық негіздеме дайындау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Қағидаларға Балық ресурстары мен басқа да су жануарларын есепке алу және аулауға жол берілетін көлемін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35) және 36) тармақшалармен толықтырылсын:</w:t>
      </w:r>
    </w:p>
    <w:bookmarkStart w:name="z6" w:id="4"/>
    <w:p>
      <w:pPr>
        <w:spacing w:after="0"/>
        <w:ind w:left="0"/>
        <w:jc w:val="both"/>
      </w:pPr>
      <w:r>
        <w:rPr>
          <w:rFonts w:ascii="Times New Roman"/>
          <w:b w:val="false"/>
          <w:i w:val="false"/>
          <w:color w:val="000000"/>
          <w:sz w:val="28"/>
        </w:rPr>
        <w:t>
      "35) МSY тұжырымдамасы – бұл қорды басқару және оның жабайы гидробионттар таралымдарын кәсіпшілік пайдаланудағы негізгі мақсаты орташа көпжылдық ауланымды барынша арттыру болып табылады;</w:t>
      </w:r>
    </w:p>
    <w:bookmarkEnd w:id="4"/>
    <w:bookmarkStart w:name="z7" w:id="5"/>
    <w:p>
      <w:pPr>
        <w:spacing w:after="0"/>
        <w:ind w:left="0"/>
        <w:jc w:val="both"/>
      </w:pPr>
      <w:r>
        <w:rPr>
          <w:rFonts w:ascii="Times New Roman"/>
          <w:b w:val="false"/>
          <w:i w:val="false"/>
          <w:color w:val="000000"/>
          <w:sz w:val="28"/>
        </w:rPr>
        <w:t>
      36) LC50 – таралымдағы балықтардың 50 пайызы кәсіпшілікпен алынатын балық ұзындығы.</w:t>
      </w:r>
    </w:p>
    <w:bookmarkEnd w:id="5"/>
    <w:bookmarkStart w:name="z8" w:id="6"/>
    <w:p>
      <w:pPr>
        <w:spacing w:after="0"/>
        <w:ind w:left="0"/>
        <w:jc w:val="both"/>
      </w:pPr>
      <w:r>
        <w:rPr>
          <w:rFonts w:ascii="Times New Roman"/>
          <w:b w:val="false"/>
          <w:i w:val="false"/>
          <w:color w:val="000000"/>
          <w:sz w:val="28"/>
        </w:rPr>
        <w:t>
      LM50 – таралымдағы балықтардың 50 пайызы жыныстық жасқа жететін ұзындық.";</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"9. Жануарларды алудың шекті жол берілетін көлемін есептеу жануарлар дүниесін пайдаланушы үшін жануарлардың санын есепке ала отыра, таралым серпіні үрдісін зерттеудің объективті көпжылдық деректері және биологиялық әртүрлілікке тигізетін ықтимал залалын ескере отырып, тіршілік ету ортасының өзгерісі негізінде бөлек жүргізіледі.</w:t>
      </w:r>
    </w:p>
    <w:bookmarkEnd w:id="7"/>
    <w:bookmarkStart w:name="z11" w:id="8"/>
    <w:p>
      <w:pPr>
        <w:spacing w:after="0"/>
        <w:ind w:left="0"/>
        <w:jc w:val="both"/>
      </w:pPr>
      <w:r>
        <w:rPr>
          <w:rFonts w:ascii="Times New Roman"/>
          <w:b w:val="false"/>
          <w:i w:val="false"/>
          <w:color w:val="000000"/>
          <w:sz w:val="28"/>
        </w:rPr>
        <w:t>
      Жануарлар дүниесі объектілерін алудың шекті жол берілетін көлемін есептеу кезінде қорларының жай-күйі қауіпті дәрежеде деп бағаланатын балықтар таралымдары (түрлері) үшін балықтардың биологиялық көрсеткіштері бойынша қордың шекті бағдарлары пайдаланылады, жалпы өлім-жітім коэффициентінің 0,5 қорды алу коэффициенті қолданылады.";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"37. Биологиялық талдауды және жас мөлшерін анықтау мақсатында кездейсоқ емес, стратифицирленген іріктеу алынады. Кездейсоқ іріктеу балық денесінің ұзындығы ғана тіркелетін оны жаппай өлшеу кезінде таңдалады. Жаппай өлшеу деректері бойынша өлшемдік құрамды жас құрамына ауыстыру үшін осы әдістеме пайдаланылады. Матрица құрылып, оған 12 кестедегі деректер бойынша алынған өлшемдік топтар пайыздар бойынша жас топтарына бөлініп қойылады. Таралымның шынайы жас құрамына барынша жақын табылады (13-кесте).</w:t>
      </w:r>
    </w:p>
    <w:bookmarkEnd w:id="9"/>
    <w:bookmarkStart w:name="z14" w:id="10"/>
    <w:p>
      <w:pPr>
        <w:spacing w:after="0"/>
        <w:ind w:left="0"/>
        <w:jc w:val="both"/>
      </w:pPr>
      <w:r>
        <w:rPr>
          <w:rFonts w:ascii="Times New Roman"/>
          <w:b w:val="false"/>
          <w:i w:val="false"/>
          <w:color w:val="000000"/>
          <w:sz w:val="28"/>
        </w:rPr>
        <w:t>
      Кіші жас топтарындағы (жыныстық жасқа толғандардан кіші) балықтардың санын анықтау үшін деректер қатарын теңестіру нәтижесінде алынған функция (құрылған тренд қатары) пайдаланылады. Осылай алынған деректер балықтардың тиісті жас топтары санының кестесіне енгізіледі.";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xml:space="preserve">
      "112. Жылдың соңында балықтардың абсолютті санының, ихтиомассаның, ата-ана үйірінің абсолютті санының мәндері кәсіпшілік ұтымды пайдаланып отырған таралым үшін негізінде жыл басындағы осы мәндерден кем болмауға тиіс. Бірақ түр таралымының биологиялық жай-күйіне, кәсіпшіліктің осының алдындағы жылдардағы қарқындылығына, перспективада кәсіпшілік ихтиофауна қалыптастырудың мақсатты бағдарларына байланысты бұл мәндер әртүрлі болуы мүмкін. </w:t>
      </w:r>
    </w:p>
    <w:bookmarkEnd w:id="11"/>
    <w:bookmarkStart w:name="z17" w:id="12"/>
    <w:p>
      <w:pPr>
        <w:spacing w:after="0"/>
        <w:ind w:left="0"/>
        <w:jc w:val="both"/>
      </w:pPr>
      <w:r>
        <w:rPr>
          <w:rFonts w:ascii="Times New Roman"/>
          <w:b w:val="false"/>
          <w:i w:val="false"/>
          <w:color w:val="000000"/>
          <w:sz w:val="28"/>
        </w:rPr>
        <w:t>
      Табиғи өлім-жітім шамасы туралы деректер болмаған жағдайда, кәсіпшіліктің қарқындылығы бойынша мақсатты бағдардың жақын мәнін таралымның өсімталдығының әртүрлі сапада болу тұжырымдамасының негізінде есептеп шығаруға болады, оған сәйкес балықтар таралымдары санының көбею жылдамдығы олардың пісіп-жетілу жасына және өмір сүруі кезінде қайталама ұрпақ беру санына байланысты болады.</w:t>
      </w:r>
    </w:p>
    <w:bookmarkEnd w:id="12"/>
    <w:bookmarkStart w:name="z18" w:id="13"/>
    <w:p>
      <w:pPr>
        <w:spacing w:after="0"/>
        <w:ind w:left="0"/>
        <w:jc w:val="both"/>
      </w:pPr>
      <w:r>
        <w:rPr>
          <w:rFonts w:ascii="Times New Roman"/>
          <w:b w:val="false"/>
          <w:i w:val="false"/>
          <w:color w:val="000000"/>
          <w:sz w:val="28"/>
        </w:rPr>
        <w:t>
      Бұл ретте жеке өсімталдықтың екінші дәрежелі маңызы болады. Кәсіпшілік өлім-жітімді жылдық шығын коэффициентінің терминдерімен білдіре отырып, аналықтарының жыныстық жетілу жасымен ерекшеленетін түрлер үшін осы коэффициенттің биологиялық қолайлы мәндерін алады.</w:t>
      </w:r>
    </w:p>
    <w:bookmarkEnd w:id="13"/>
    <w:bookmarkStart w:name="z19" w:id="14"/>
    <w:p>
      <w:pPr>
        <w:spacing w:after="0"/>
        <w:ind w:left="0"/>
        <w:jc w:val="both"/>
      </w:pPr>
      <w:r>
        <w:rPr>
          <w:rFonts w:ascii="Times New Roman"/>
          <w:b w:val="false"/>
          <w:i w:val="false"/>
          <w:color w:val="000000"/>
          <w:sz w:val="28"/>
        </w:rPr>
        <w:t>
      Жылдық шығынды бағалауды дұрыс түсіндіру үшін ескеру керек мынадай екі маңызды мәселе бар:</w:t>
      </w:r>
    </w:p>
    <w:bookmarkEnd w:id="14"/>
    <w:bookmarkStart w:name="z20" w:id="15"/>
    <w:p>
      <w:pPr>
        <w:spacing w:after="0"/>
        <w:ind w:left="0"/>
        <w:jc w:val="both"/>
      </w:pPr>
      <w:r>
        <w:rPr>
          <w:rFonts w:ascii="Times New Roman"/>
          <w:b w:val="false"/>
          <w:i w:val="false"/>
          <w:color w:val="000000"/>
          <w:sz w:val="28"/>
        </w:rPr>
        <w:t>
      1) кәсіпшілік алудың рұқсат етілетін үлесі қор санына пайызбен көрсетілген, сондықтан ауланымды бағалау да сан бірліктерімен беріледі, масса бірліктерінде рұқсат етілетін ауланым көлемін табу үшін алынған бағалауды қордың жас құрамын және орташа салмағын ескере отырып қайта есептеу қажет;</w:t>
      </w:r>
    </w:p>
    <w:bookmarkEnd w:id="15"/>
    <w:bookmarkStart w:name="z21" w:id="16"/>
    <w:p>
      <w:pPr>
        <w:spacing w:after="0"/>
        <w:ind w:left="0"/>
        <w:jc w:val="both"/>
      </w:pPr>
      <w:r>
        <w:rPr>
          <w:rFonts w:ascii="Times New Roman"/>
          <w:b w:val="false"/>
          <w:i w:val="false"/>
          <w:color w:val="000000"/>
          <w:sz w:val="28"/>
        </w:rPr>
        <w:t>
      2) кәсіпшілік алудың рұқсат етілген үлесі болжамды жылдың бас кезіндегі қордың кәсіпшілік бөлігіне жатады.</w:t>
      </w:r>
    </w:p>
    <w:bookmarkEnd w:id="16"/>
    <w:bookmarkStart w:name="z22" w:id="17"/>
    <w:p>
      <w:pPr>
        <w:spacing w:after="0"/>
        <w:ind w:left="0"/>
        <w:jc w:val="both"/>
      </w:pPr>
      <w:r>
        <w:rPr>
          <w:rFonts w:ascii="Times New Roman"/>
          <w:b w:val="false"/>
          <w:i w:val="false"/>
          <w:color w:val="000000"/>
          <w:sz w:val="28"/>
        </w:rPr>
        <w:t>
      Балық аулауды басқару барынша орнықты ауланым тұжырымдамасына (MSY) негізделуі тиіс. Кәсіпшілік қорды алу коэффициенттері МSY өлшемшарттарына сәйкес келуі тұрғысынан тексеріледі. Сәйкес келмеген жағдайда, кәсіпшілік қорды алудың басқа коэффициенттерінің есептемесі жасалады.";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тарауы</w:t>
      </w:r>
      <w:r>
        <w:rPr>
          <w:rFonts w:ascii="Times New Roman"/>
          <w:b w:val="false"/>
          <w:i w:val="false"/>
          <w:color w:val="000000"/>
          <w:sz w:val="28"/>
        </w:rPr>
        <w:t xml:space="preserve"> мынадай мазмұндағы 6 және 7-параграфтармен толықтырылсын:</w:t>
      </w:r>
    </w:p>
    <w:bookmarkStart w:name="z24" w:id="18"/>
    <w:p>
      <w:pPr>
        <w:spacing w:after="0"/>
        <w:ind w:left="0"/>
        <w:jc w:val="both"/>
      </w:pPr>
      <w:r>
        <w:rPr>
          <w:rFonts w:ascii="Times New Roman"/>
          <w:b w:val="false"/>
          <w:i w:val="false"/>
          <w:color w:val="000000"/>
          <w:sz w:val="28"/>
        </w:rPr>
        <w:t>
      "6-параграф. Балықтардың биологиялық көрсеткіштері бойынша қорларды сақтықпен басқару стратегиясын әзірлеу үшін қордың шекті бағдарларын анықтау әдісі</w:t>
      </w:r>
    </w:p>
    <w:bookmarkEnd w:id="18"/>
    <w:bookmarkStart w:name="z25" w:id="19"/>
    <w:p>
      <w:pPr>
        <w:spacing w:after="0"/>
        <w:ind w:left="0"/>
        <w:jc w:val="both"/>
      </w:pPr>
      <w:r>
        <w:rPr>
          <w:rFonts w:ascii="Times New Roman"/>
          <w:b w:val="false"/>
          <w:i w:val="false"/>
          <w:color w:val="000000"/>
          <w:sz w:val="28"/>
        </w:rPr>
        <w:t>
      208. Балық түрі таралымдарының қоры жай-күйінің көрсеткіштері LC50 және LM50 өлшемшарттары болып табылады.</w:t>
      </w:r>
    </w:p>
    <w:bookmarkEnd w:id="19"/>
    <w:bookmarkStart w:name="z26" w:id="20"/>
    <w:p>
      <w:pPr>
        <w:spacing w:after="0"/>
        <w:ind w:left="0"/>
        <w:jc w:val="both"/>
      </w:pPr>
      <w:r>
        <w:rPr>
          <w:rFonts w:ascii="Times New Roman"/>
          <w:b w:val="false"/>
          <w:i w:val="false"/>
          <w:color w:val="000000"/>
          <w:sz w:val="28"/>
        </w:rPr>
        <w:t>
      LC50=LM50 өлшемшарттары мәндерінің тепе-теңдігі су айдынындағы белгілі бір балық түрі қоры жай-күйінің шекті бағдары болып табылады.</w:t>
      </w:r>
    </w:p>
    <w:bookmarkEnd w:id="20"/>
    <w:bookmarkStart w:name="z27" w:id="21"/>
    <w:p>
      <w:pPr>
        <w:spacing w:after="0"/>
        <w:ind w:left="0"/>
        <w:jc w:val="both"/>
      </w:pPr>
      <w:r>
        <w:rPr>
          <w:rFonts w:ascii="Times New Roman"/>
          <w:b w:val="false"/>
          <w:i w:val="false"/>
          <w:color w:val="000000"/>
          <w:sz w:val="28"/>
        </w:rPr>
        <w:t>
      LC50≤LM50 жағдайында осы түрдің ШАМ-ын есептеу кезінде осы балық түріне төмендетілген алу коэффициенттері пайдаланылады, келесі күнтізбелік жылы алу коэффициенттері ағымдағы жылғыдан кем болуы тиіс.</w:t>
      </w:r>
    </w:p>
    <w:bookmarkEnd w:id="21"/>
    <w:bookmarkStart w:name="z28" w:id="22"/>
    <w:p>
      <w:pPr>
        <w:spacing w:after="0"/>
        <w:ind w:left="0"/>
        <w:jc w:val="both"/>
      </w:pPr>
      <w:r>
        <w:rPr>
          <w:rFonts w:ascii="Times New Roman"/>
          <w:b w:val="false"/>
          <w:i w:val="false"/>
          <w:color w:val="000000"/>
          <w:sz w:val="28"/>
        </w:rPr>
        <w:t>
      LC50≥LM50 жағдайында ШАМ-ды есептеу кезіне балық қорларын басқару шараларын (алу коэффициентін төмендету) қолдану қажет емес.</w:t>
      </w:r>
    </w:p>
    <w:bookmarkEnd w:id="22"/>
    <w:bookmarkStart w:name="z29" w:id="23"/>
    <w:p>
      <w:pPr>
        <w:spacing w:after="0"/>
        <w:ind w:left="0"/>
        <w:jc w:val="both"/>
      </w:pPr>
      <w:r>
        <w:rPr>
          <w:rFonts w:ascii="Times New Roman"/>
          <w:b w:val="false"/>
          <w:i w:val="false"/>
          <w:color w:val="000000"/>
          <w:sz w:val="28"/>
        </w:rPr>
        <w:t>
      7-параграф. Балық аулауға сақтықпен қарау кезінде балық алу коэффициенттерін есептеу әдісі</w:t>
      </w:r>
    </w:p>
    <w:bookmarkEnd w:id="23"/>
    <w:bookmarkStart w:name="z30" w:id="24"/>
    <w:p>
      <w:pPr>
        <w:spacing w:after="0"/>
        <w:ind w:left="0"/>
        <w:jc w:val="both"/>
      </w:pPr>
      <w:r>
        <w:rPr>
          <w:rFonts w:ascii="Times New Roman"/>
          <w:b w:val="false"/>
          <w:i w:val="false"/>
          <w:color w:val="000000"/>
          <w:sz w:val="28"/>
        </w:rPr>
        <w:t xml:space="preserve">
      209. Таралымның жай-күйі орнықты болған кезде есептеме жалпыға ортақ әдістерге сәйкес жүргізіледі, бұл орайда "Тюрин, Зыков әдістері, Малкин таралымдардың әртектілігі тұжырымдамасы" және басқалар пайдаланылады. </w:t>
      </w:r>
    </w:p>
    <w:bookmarkEnd w:id="24"/>
    <w:bookmarkStart w:name="z31" w:id="25"/>
    <w:p>
      <w:pPr>
        <w:spacing w:after="0"/>
        <w:ind w:left="0"/>
        <w:jc w:val="both"/>
      </w:pPr>
      <w:r>
        <w:rPr>
          <w:rFonts w:ascii="Times New Roman"/>
          <w:b w:val="false"/>
          <w:i w:val="false"/>
          <w:color w:val="000000"/>
          <w:sz w:val="28"/>
        </w:rPr>
        <w:t>
      Балықтардың биологиялық көрсеткіштері бойынша қордың LM50 = LC50 шекті бағдарларына қол жеткізілгенде Z = 2F формуласы қолданылады, яғни F алу коэффициенті Z жалпы өлім-жітім коэффициентінен 0,5 коэффициентпен есептеледі.</w:t>
      </w:r>
    </w:p>
    <w:bookmarkEnd w:id="25"/>
    <w:bookmarkStart w:name="z32" w:id="26"/>
    <w:p>
      <w:pPr>
        <w:spacing w:after="0"/>
        <w:ind w:left="0"/>
        <w:jc w:val="both"/>
      </w:pPr>
      <w:r>
        <w:rPr>
          <w:rFonts w:ascii="Times New Roman"/>
          <w:b w:val="false"/>
          <w:i w:val="false"/>
          <w:color w:val="000000"/>
          <w:sz w:val="28"/>
        </w:rPr>
        <w:t>
      Балықтардың нақты түрі бойынша қордың шекті бағдарларына қол жеткізілгенде осы түр үшін алу коэффициенті ауланымдағы (іріктелген) осы балық түрінің Т шекті жасына сүйене отырып белгіленеді.</w:t>
      </w:r>
    </w:p>
    <w:bookmarkEnd w:id="26"/>
    <w:bookmarkStart w:name="z33" w:id="27"/>
    <w:p>
      <w:pPr>
        <w:spacing w:after="0"/>
        <w:ind w:left="0"/>
        <w:jc w:val="both"/>
      </w:pPr>
      <w:r>
        <w:rPr>
          <w:rFonts w:ascii="Times New Roman"/>
          <w:b w:val="false"/>
          <w:i w:val="false"/>
          <w:color w:val="000000"/>
          <w:sz w:val="28"/>
        </w:rPr>
        <w:t>
      210. 60-кестеде жалпы өлім-жітім коэффициентінің (Z) және жағдайлардың әртүрлі мәндері кезінде балықтардың шекті жасының теориялық мәндерінің есептемелері келтірілген, онда балықтардың ең аз саны шамамен 0,01 (1%) мөлшерді құрайды.</w:t>
      </w:r>
    </w:p>
    <w:bookmarkEnd w:id="27"/>
    <w:bookmarkStart w:name="z34" w:id="28"/>
    <w:p>
      <w:pPr>
        <w:spacing w:after="0"/>
        <w:ind w:left="0"/>
        <w:jc w:val="both"/>
      </w:pPr>
      <w:r>
        <w:rPr>
          <w:rFonts w:ascii="Times New Roman"/>
          <w:b w:val="false"/>
          <w:i w:val="false"/>
          <w:color w:val="000000"/>
          <w:sz w:val="28"/>
        </w:rPr>
        <w:t>
      Ауланымдағы балықтардың шекті жасы бойынша аулау коэффициентін есептеу үшін қосалқы 61-кестені пайдалану қажет. Мысалы, ауланымдағы (іріктелген) осы түр балықтарының шекті жасы 5 жас болған жағдайда, алу коэффициенті F = 0,3 болып белгіленеді. Шекті жасы 13 жыл болған кезде алу коэффициенті F = 0,15 болып белгіленеді.";</w:t>
      </w:r>
    </w:p>
    <w:bookmarkEnd w:id="28"/>
    <w:bookmarkStart w:name="z35" w:id="29"/>
    <w:p>
      <w:pPr>
        <w:spacing w:after="0"/>
        <w:ind w:left="0"/>
        <w:jc w:val="both"/>
      </w:pPr>
      <w:r>
        <w:rPr>
          <w:rFonts w:ascii="Times New Roman"/>
          <w:b w:val="false"/>
          <w:i w:val="false"/>
          <w:color w:val="000000"/>
          <w:sz w:val="28"/>
        </w:rPr>
        <w:t xml:space="preserve">
      көрсетілген Әдістемеге </w:t>
      </w:r>
      <w:r>
        <w:rPr>
          <w:rFonts w:ascii="Times New Roman"/>
          <w:b w:val="false"/>
          <w:i w:val="false"/>
          <w:color w:val="000000"/>
          <w:sz w:val="28"/>
        </w:rPr>
        <w:t>1-қосымшада</w:t>
      </w:r>
      <w:r>
        <w:rPr>
          <w:rFonts w:ascii="Times New Roman"/>
          <w:b w:val="false"/>
          <w:i w:val="false"/>
          <w:color w:val="000000"/>
          <w:sz w:val="28"/>
        </w:rPr>
        <w:t>:</w:t>
      </w:r>
    </w:p>
    <w:bookmarkEnd w:id="29"/>
    <w:bookmarkStart w:name="z36" w:id="30"/>
    <w:p>
      <w:pPr>
        <w:spacing w:after="0"/>
        <w:ind w:left="0"/>
        <w:jc w:val="both"/>
      </w:pPr>
      <w:r>
        <w:rPr>
          <w:rFonts w:ascii="Times New Roman"/>
          <w:b w:val="false"/>
          <w:i w:val="false"/>
          <w:color w:val="000000"/>
          <w:sz w:val="28"/>
        </w:rPr>
        <w:t>
      мынадай мазмұндағы 60 және 61-кестелермен толықтырылсын:</w:t>
      </w:r>
    </w:p>
    <w:bookmarkEnd w:id="30"/>
    <w:bookmarkStart w:name="z37" w:id="31"/>
    <w:p>
      <w:pPr>
        <w:spacing w:after="0"/>
        <w:ind w:left="0"/>
        <w:jc w:val="both"/>
      </w:pPr>
      <w:r>
        <w:rPr>
          <w:rFonts w:ascii="Times New Roman"/>
          <w:b w:val="false"/>
          <w:i w:val="false"/>
          <w:color w:val="000000"/>
          <w:sz w:val="28"/>
        </w:rPr>
        <w:t>
      "60-кесте – Жалпы өлім-жітім (жылдық шығын) коэффициентіне байланысты балықтар таралымының саны (мәні 0-ден 1-ге дейін)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1125"/>
        <w:gridCol w:w="1125"/>
        <w:gridCol w:w="1125"/>
        <w:gridCol w:w="1125"/>
        <w:gridCol w:w="1125"/>
        <w:gridCol w:w="1125"/>
        <w:gridCol w:w="1125"/>
        <w:gridCol w:w="1338"/>
        <w:gridCol w:w="1125"/>
        <w:gridCol w:w="1340"/>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жылдық шығын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0,0256</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32"/>
    <w:p>
      <w:pPr>
        <w:spacing w:after="0"/>
        <w:ind w:left="0"/>
        <w:jc w:val="both"/>
      </w:pPr>
      <w:r>
        <w:rPr>
          <w:rFonts w:ascii="Times New Roman"/>
          <w:b w:val="false"/>
          <w:i w:val="false"/>
          <w:color w:val="000000"/>
          <w:sz w:val="28"/>
        </w:rPr>
        <w:t>
      61-кесте – Ауланымдардағы (іріктеудегі) балықтардың шекті жасының бақыланып жүрген мәндеріне сүйене отырып, Z жалпы өлім-жітім (жылдық шығын) коэффициенттері және қордың шекті бағдарларына қол жеткізілгенде ұсынылатын F алу коэффиценттері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828"/>
        <w:gridCol w:w="1329"/>
        <w:gridCol w:w="1079"/>
        <w:gridCol w:w="1329"/>
        <w:gridCol w:w="828"/>
        <w:gridCol w:w="1329"/>
        <w:gridCol w:w="1329"/>
        <w:gridCol w:w="1330"/>
        <w:gridCol w:w="1080"/>
        <w:gridCol w:w="1331"/>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(ауланымдағы шекті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r>
    </w:tbl>
    <w:p>
      <w:pPr>
        <w:spacing w:after="0"/>
        <w:ind w:left="0"/>
        <w:jc w:val="both"/>
      </w:pP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33"/>
    <w:bookmarkStart w:name="z40" w:id="3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4"/>
    <w:bookmarkStart w:name="z41" w:id="3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35"/>
    <w:bookmarkStart w:name="z42" w:id="36"/>
    <w:p>
      <w:pPr>
        <w:spacing w:after="0"/>
        <w:ind w:left="0"/>
        <w:jc w:val="both"/>
      </w:pPr>
      <w:r>
        <w:rPr>
          <w:rFonts w:ascii="Times New Roman"/>
          <w:b w:val="false"/>
          <w:i w:val="false"/>
          <w:color w:val="000000"/>
          <w:sz w:val="28"/>
        </w:rPr>
        <w:t>
      3) осы бұйрық мемлекеттік тіркелгеннен кейін он күнтізбелік күн ішінде оның көшірмесінің мерзімді баспа басылымдарына ресми жариялауға жіберілуін;</w:t>
      </w:r>
    </w:p>
    <w:bookmarkEnd w:id="36"/>
    <w:bookmarkStart w:name="z43" w:id="37"/>
    <w:p>
      <w:pPr>
        <w:spacing w:after="0"/>
        <w:ind w:left="0"/>
        <w:jc w:val="both"/>
      </w:pPr>
      <w:r>
        <w:rPr>
          <w:rFonts w:ascii="Times New Roman"/>
          <w:b w:val="false"/>
          <w:i w:val="false"/>
          <w:color w:val="000000"/>
          <w:sz w:val="28"/>
        </w:rPr>
        <w:t xml:space="preserve">
      4) осы бұйрықтың Қазақстан Республикасы Ауыл шаруашылығы министрлігінің интернет-ресурсында орналастырылуын; </w:t>
      </w:r>
    </w:p>
    <w:bookmarkEnd w:id="37"/>
    <w:bookmarkStart w:name="z44" w:id="38"/>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38"/>
    <w:bookmarkStart w:name="z45" w:id="3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