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593d" w14:textId="f9a5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4 мамырдағы № 308 бұйрығы. Қазақстан Республикасының Әділет министрлігінде 2018 жылғы 28 мамырда № 16943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2015 жылғы 15 мамырда "Әділет" ақпараттық-құқықтық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дербес немесе басқа мамандарды тарта отырып, салынуы белгіленген объектіні жобалауға арналған тапсырманы дайындайды.</w:t>
      </w:r>
    </w:p>
    <w:bookmarkEnd w:id="4"/>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p>
      <w:pPr>
        <w:spacing w:after="0"/>
        <w:ind w:left="0"/>
        <w:jc w:val="both"/>
      </w:pPr>
      <w:r>
        <w:rPr>
          <w:rFonts w:ascii="Times New Roman"/>
          <w:b w:val="false"/>
          <w:i w:val="false"/>
          <w:color w:val="000000"/>
          <w:sz w:val="28"/>
        </w:rPr>
        <w:t xml:space="preserve">
      Құрылыста мемлекеттік инвестициялар есебінен қаржыланатын объектілерді жобалауға арналған тапсырмада тауарлардың, жұмыстардың, көрсетілетін қызметтердің және оларды берушілердің дерекқорына қосылған,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Инвестициялар және даму министрінің міндетін атқарушының 2015 жылғы 26 қарашадағы № 1107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12767 болып тіркелген) бектілген Тауарлардың, жұмыстардың, көрсетілетін қызметтердің және оларды берушілердің дерекқорын қалыптастыру және жүргізу қағидаларына сәйкес қалыптастырылған қазақстандық өндірістің құрылыс материалдарын, жабдықтарын, бұйымдары мен конструкцияларын қолдану міндетті талап болып табылады.</w:t>
      </w:r>
    </w:p>
    <w:p>
      <w:pPr>
        <w:spacing w:after="0"/>
        <w:ind w:left="0"/>
        <w:jc w:val="both"/>
      </w:pPr>
      <w:r>
        <w:rPr>
          <w:rFonts w:ascii="Times New Roman"/>
          <w:b w:val="false"/>
          <w:i w:val="false"/>
          <w:color w:val="000000"/>
          <w:sz w:val="28"/>
        </w:rPr>
        <w:t>
      Жобалау процесінде тапсырыс берушінің тапсырмасы бойынша жобалауға арналған тапсырма түзетіледі және нақтыланады. Егер тапсырыс берушінің бастамасы бойынша жобалауға арналған тапсырмаға енгізілген түзетулер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bookmarkStart w:name="z12"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 заңнамада белгіленген тәртіппен:</w:t>
      </w:r>
    </w:p>
    <w:bookmarkEnd w:id="5"/>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Start w:name="z1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6"/>
    <w:bookmarkStart w:name="z1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