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0a9f" w14:textId="8a00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тізбесін бекіту туралы" Қазақстан Республикасы Әділет министрінің 2017 жылғы 27 наурыздағы № 306 бұйрығына толықтыру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8 маусымдағы № 899 бұйрығы. Қазақстан Республикасының Әділет министрлігінде 2018 жылғы 13 маусымда № 17062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тізбесін бекіту туралы" Қазақстан Республикасы Әділет министрінің 2017 жылғы 27 наурыздағы № 306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14992 болып тіркелген, Қазақстан Республикасы нормативтік құқықтық актілерінің эталондық бақылау банкінде 2017 жылы 13 сәуірде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мынадай мазмұндағы реттік нөмірі, 30 жолымен толықтырылсын: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868"/>
        <w:gridCol w:w="2557"/>
        <w:gridCol w:w="4458"/>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түрі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мамандық</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шифрі</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психологиялық сараптамасы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 зерттеу</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2. Сараптама қызметін ұйымдастыру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мемлекеттік тіркеуді;</w:t>
      </w:r>
    </w:p>
    <w:bookmarkEnd w:id="5"/>
    <w:bookmarkStart w:name="z7" w:id="6"/>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