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ccc2" w14:textId="7c5c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білімнен кейінгі білім берудің кәсіптік оқу бағдарламалары бойынша мамандар даярлау жүзеге асырылатын мамандықтар тізбесін бекіту туралы" Қазақстан Республикасы Білім және ғылым министрінің міндетін атқарушының 2013 жылғы 19 тамыздағы № 347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25 қыркүйектегі № 495 бұйрығы. Қазақстан Республикасының Әділет министрлігінде 2018 жылғы 17 қазанда № 17566 болып тіркелді. Күші жойылды - Қазақстан Республикасы Білім және ғылым министрінің 2021 жылғы 15 наурыздағы № 111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15.03.2021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"Орта білімнен кейінгі білім берудің кәсіптік оқу бағдарламалары бойынша мамандар даярлау жүзеге асырылатын мамандықтар тізбесін бекіту туралы" Қазақстан Республикасы Білім және ғылым министрінің міндетін атқарушының 2013 жылғы 19 тамыздағы № 347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тізімінде № 8731 болып тіркелген, 2013 жылғы 30 қазандағы № 243 (28182) "Егемен Қазақстан"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"Орта білімнен кейінгі білімнің білім беру бағдарламалары бойынша кадрларды даярлау жүзеге асырылатын мамандықтар тізбесін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Орта білімнен кейінгі білімнің білім беру бағдарламалары бойынша кадрларды даярлау жүзеге асырылатын мамандықтар тізбесі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Орта білімнен кейінгі білім берудің кәсіптік оқу бағдарламалары бойынша мамандар даярлау жүзеге асырылатын мамандықтар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(Н.Ж. Оспанова)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 ресми жариялау үшін мерзімді басылымдарға жіберуді;</w:t>
      </w:r>
    </w:p>
    <w:bookmarkEnd w:id="8"/>
    <w:bookmarkStart w:name="z12" w:id="9"/>
    <w:p>
      <w:pPr>
        <w:spacing w:after="0"/>
        <w:ind w:left="0"/>
        <w:jc w:val="both"/>
      </w:pPr>
      <w:r>
        <w:rPr>
          <w:rFonts w:ascii="Times New Roman"/>
          <w:b w:val="false"/>
          <w:i w:val="false"/>
          <w:color w:val="000000"/>
          <w:sz w:val="28"/>
        </w:rPr>
        <w:t>
      4) осы бұйрықты Қазақстан Республикасының Білім және ғылым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орындаулы туралы мәліметтерді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25 қыркүйектегі</w:t>
            </w:r>
            <w:r>
              <w:br/>
            </w:r>
            <w:r>
              <w:rPr>
                <w:rFonts w:ascii="Times New Roman"/>
                <w:b w:val="false"/>
                <w:i w:val="false"/>
                <w:color w:val="000000"/>
                <w:sz w:val="20"/>
              </w:rPr>
              <w:t>№ 495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19 тамыздағы</w:t>
            </w:r>
            <w:r>
              <w:br/>
            </w:r>
            <w:r>
              <w:rPr>
                <w:rFonts w:ascii="Times New Roman"/>
                <w:b w:val="false"/>
                <w:i w:val="false"/>
                <w:color w:val="000000"/>
                <w:sz w:val="20"/>
              </w:rPr>
              <w:t>№ 347 бұйрығымен</w:t>
            </w:r>
            <w:r>
              <w:br/>
            </w:r>
            <w:r>
              <w:rPr>
                <w:rFonts w:ascii="Times New Roman"/>
                <w:b w:val="false"/>
                <w:i w:val="false"/>
                <w:color w:val="000000"/>
                <w:sz w:val="20"/>
              </w:rPr>
              <w:t>бекітілген</w:t>
            </w:r>
          </w:p>
        </w:tc>
      </w:tr>
    </w:tbl>
    <w:bookmarkStart w:name="z17" w:id="13"/>
    <w:p>
      <w:pPr>
        <w:spacing w:after="0"/>
        <w:ind w:left="0"/>
        <w:jc w:val="left"/>
      </w:pPr>
      <w:r>
        <w:rPr>
          <w:rFonts w:ascii="Times New Roman"/>
          <w:b/>
          <w:i w:val="false"/>
          <w:color w:val="000000"/>
        </w:rPr>
        <w:t xml:space="preserve"> Орта білімнен кейінгі білімнің білім беру бағдарламалары бойынша кадрларды даярлау жүзеге асырылатын мамандықтар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1"/>
        <w:gridCol w:w="6469"/>
      </w:tblGrid>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профилі, мамандық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 бойынша)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 бойынша) Көлікті пайдалану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тартатын, жармалық және құрама жем өндірісі</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 Электрондық техника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