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f608" w14:textId="ab9f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 білім беру ұйымдарының түрлері бойынша ауыстыру және қайта қабылдау қағидаларын бекіту туралы" Қазақстан Республикасы Білім және ғылым министрінің 2015 жылғы 20 қаңтардағы № 19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601 бұйрығы. Қазақстан Республикасының Әділет министрлігінде 2018 жылғы 31 қазанда № 17652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алушыларды білім беру ұйымдарының түрлері бойынша ауыстыру және қайта қабылдау қағидаларын бекіту туралы" Қазақстан Республикасы Білім және ғылым министрінің 2015 жылғы 20 қаңтардағы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10297 болып тіркелген, "Егемен Қазақстан" газетінің 2015 жылғы 12 наурыздағы № 47 (28525)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алушыларды білім беру ұйымдарының түрлері бойынша ауыстыру және қайта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Білім алушыларды білім беру ұйымдарының түрлері бойынша ауыстыру және қайта қабылдау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әзірленген және меншік нысанына және ведомстволық бағыныстылығына қарамастан білім алушыларды техникалық және кәсіптік, орта білімнен кейінгі білім беру ұйымдарына ауыстырудың және қайта қабылдаудың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абзацы алынып тасталсын;</w:t>
      </w:r>
    </w:p>
    <w:bookmarkStart w:name="z7" w:id="4"/>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1-параграфының</w:t>
      </w:r>
      <w:r>
        <w:rPr>
          <w:rFonts w:ascii="Times New Roman"/>
          <w:b w:val="false"/>
          <w:i w:val="false"/>
          <w:color w:val="000000"/>
          <w:sz w:val="28"/>
        </w:rPr>
        <w:t xml:space="preserve"> атауы алынып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w:t>
      </w:r>
      <w:r>
        <w:rPr>
          <w:rFonts w:ascii="Times New Roman"/>
          <w:b w:val="false"/>
          <w:i w:val="false"/>
          <w:color w:val="000000"/>
          <w:sz w:val="28"/>
        </w:rPr>
        <w:t xml:space="preserve"> алынып тасталсын.</w:t>
      </w:r>
    </w:p>
    <w:bookmarkStart w:name="z9" w:id="5"/>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қағаз түріндегі және электронды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12" w:id="8"/>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8"/>
    <w:bookmarkStart w:name="z13" w:id="9"/>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