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7b62" w14:textId="94a7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объектілерін қосу туралы үлгілік шартты, сондай-ақ оны жасасу қағидаларын бекіту туралы" Қазақстан Республикасы Энергетика министрінің міндетін атқарушының 2016 жылғы 27 шілдедегі № 343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10 қазандағы № 406 бұйрығы. Қазақстан Республикасының Әділет министрлігінде 2018 жылғы 1 қарашада № 17664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пайдалану объектілерін қосу туралы үлгілік шартты, сондай-ақ оны жасасу қағидаларын бекіту туралы" Қазақстан Республикасы Энергетика министрінің міндетін атқарушының 2016 жылғы 27 шілдедегі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14108 болып тіркелген, 2016 жылғы 2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объектілерін қосу туралы үлгілік шартты жасасу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Тиісті объектісі жаңартылатын энергия көздерін пайдалану объектілерін орналастыру жоспарына енгізілген Энергия өндіруші ұйым Энергия беруші ұйымнан желіге қосуға арналған техникалық шарттарды алғаннан бастап күнтізбелік 30 (отыз) күн ішінде оған жаңартылатын энергия көздерін пайдалану объектілерін қосу туралы шарт жасасуға еркін нысанда өтінім (бұдан әрі – өтінім) жолдайды.</w:t>
      </w:r>
    </w:p>
    <w:bookmarkEnd w:id="3"/>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Энергия өндіруші ұйымның құрылтай құжаттары;</w:t>
      </w:r>
    </w:p>
    <w:p>
      <w:pPr>
        <w:spacing w:after="0"/>
        <w:ind w:left="0"/>
        <w:jc w:val="both"/>
      </w:pPr>
      <w:r>
        <w:rPr>
          <w:rFonts w:ascii="Times New Roman"/>
          <w:b w:val="false"/>
          <w:i w:val="false"/>
          <w:color w:val="000000"/>
          <w:sz w:val="28"/>
        </w:rPr>
        <w:t>
      2) желіге қосуға арналған техникалық шарттары;</w:t>
      </w:r>
    </w:p>
    <w:p>
      <w:pPr>
        <w:spacing w:after="0"/>
        <w:ind w:left="0"/>
        <w:jc w:val="both"/>
      </w:pPr>
      <w:r>
        <w:rPr>
          <w:rFonts w:ascii="Times New Roman"/>
          <w:b w:val="false"/>
          <w:i w:val="false"/>
          <w:color w:val="000000"/>
          <w:sz w:val="28"/>
        </w:rPr>
        <w:t xml:space="preserve">
      3)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желілік қағидалар (Нормативтік құқықтық актілерді мемлекеттік тіркеу тізілімінде № 10899 болып тіркелген) (бұдан әрі – Электр желілік қағидалар) талаптарына сәйкес әзірленген электр станцияларының қуатын беру схемасы;</w:t>
      </w:r>
    </w:p>
    <w:p>
      <w:pPr>
        <w:spacing w:after="0"/>
        <w:ind w:left="0"/>
        <w:jc w:val="both"/>
      </w:pPr>
      <w:r>
        <w:rPr>
          <w:rFonts w:ascii="Times New Roman"/>
          <w:b w:val="false"/>
          <w:i w:val="false"/>
          <w:color w:val="000000"/>
          <w:sz w:val="28"/>
        </w:rPr>
        <w:t xml:space="preserve">
      4) Электр желілік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Электр станцияларының қуатын беру схемасын келісу туралы Энергия беруші ұйым мен жүйелік оператор хаттарының көшірмелері.".</w:t>
      </w:r>
    </w:p>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