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ce82" w14:textId="583c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эфирлік телерадио хабарларын таратуға көшу мерзімдерін белгілеу туралы" Қазақстан Республикасы Ақпарат және коммуникациялар министрінің 2018 жылғы 13 маусымдағы № 262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қыркүйектегі № 417 бұйрығы. Қазақстан Республикасының Әділет министрлігінде 2018 жылғы 15 қарашада № 17748 болып тіркелді. Күші жойылды - Қазақстан Республикасы Мәдениет және ақпарат министрінің 2024 жылғы 29 тамыздағы № 393-НҚ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393-НҚ</w:t>
      </w:r>
      <w:r>
        <w:rPr>
          <w:rFonts w:ascii="Times New Roman"/>
          <w:b w:val="false"/>
          <w:i w:val="false"/>
          <w:color w:val="ff0000"/>
          <w:sz w:val="28"/>
        </w:rPr>
        <w:t xml:space="preserve"> (алғашқы ресми жарияланған күнінен кейн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42-бабы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 Цифрлық эфирлік телерадио хабарларын таратуға көшу мерзімдерін белгілеу туралы" Қазақстан Республикасы Ақпарат және коммуникациялар министрінің 2018 жылғы 13 маусымдағы № 262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тіркелген тiзiлiмiнде № 17082 болып тіркелген, 2018 жылғы 20 маусымда "Әділет" ақпараттық-құқықтық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Цифрлық эфирлік телерадио хабарларын таратуға көшудің мынадай мерзімдері айқындалсын:</w:t>
      </w:r>
    </w:p>
    <w:bookmarkEnd w:id="2"/>
    <w:p>
      <w:pPr>
        <w:spacing w:after="0"/>
        <w:ind w:left="0"/>
        <w:jc w:val="both"/>
      </w:pPr>
      <w:r>
        <w:rPr>
          <w:rFonts w:ascii="Times New Roman"/>
          <w:b w:val="false"/>
          <w:i w:val="false"/>
          <w:color w:val="000000"/>
          <w:sz w:val="28"/>
        </w:rPr>
        <w:t>
      1) бірінші кезең, 2018 жылғы 31 желтоқсанға дейін: Маңғыстау, Жамбыл, Түркістан облыстары және Шымкент қаласы;</w:t>
      </w:r>
    </w:p>
    <w:p>
      <w:pPr>
        <w:spacing w:after="0"/>
        <w:ind w:left="0"/>
        <w:jc w:val="both"/>
      </w:pPr>
      <w:r>
        <w:rPr>
          <w:rFonts w:ascii="Times New Roman"/>
          <w:b w:val="false"/>
          <w:i w:val="false"/>
          <w:color w:val="000000"/>
          <w:sz w:val="28"/>
        </w:rPr>
        <w:t>
      2) екінші кезең, 2019 жылғы 1 шілдеге дейін: Алматы, Павлодар және Қостанай облыстары;</w:t>
      </w:r>
    </w:p>
    <w:p>
      <w:pPr>
        <w:spacing w:after="0"/>
        <w:ind w:left="0"/>
        <w:jc w:val="both"/>
      </w:pPr>
      <w:r>
        <w:rPr>
          <w:rFonts w:ascii="Times New Roman"/>
          <w:b w:val="false"/>
          <w:i w:val="false"/>
          <w:color w:val="000000"/>
          <w:sz w:val="28"/>
        </w:rPr>
        <w:t>
      3) үшінші кезең, 2020 жылғы 1 шілдеге дейін: Шығыс Қазақстан, Солтүстік Қазақстан, Қарағанды, Атырау, Қызылорда облыстары;</w:t>
      </w:r>
    </w:p>
    <w:p>
      <w:pPr>
        <w:spacing w:after="0"/>
        <w:ind w:left="0"/>
        <w:jc w:val="both"/>
      </w:pPr>
      <w:r>
        <w:rPr>
          <w:rFonts w:ascii="Times New Roman"/>
          <w:b w:val="false"/>
          <w:i w:val="false"/>
          <w:color w:val="000000"/>
          <w:sz w:val="28"/>
        </w:rPr>
        <w:t>
      4) төртінші кезең, 2021 жылғы 1 шілдеге дейін: Батыс Қазақстан, Ақмола, Ақтөбе облыстары, Астана және Алматы қалалары.".</w:t>
      </w:r>
    </w:p>
    <w:bookmarkStart w:name="z5"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