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72fa" w14:textId="52f7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бұйрығымен бекітілген Теміржол көлігіндегі қауіпсіздік қағидаларының 23-тармағының қолданысын тоқтату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қазандағы № 743 бұйрығы. Қазақстан Республикасының Әділет министрлігінде 2018 жылғы 26 қарашада № 17784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бұйрығымен бекітілген Теміржол көлігіндегі қауіпсіздік қағидаларының (Нормативтік құқықтық актілерді мемлекеттік тіркеу тізілімінде № 11602 болып тіркелген, "Әділет" ақпараттық-құқықтық жүйесінде 2015 жылғы 31 шілдеде жарияланған) </w:t>
      </w:r>
      <w:r>
        <w:rPr>
          <w:rFonts w:ascii="Times New Roman"/>
          <w:b w:val="false"/>
          <w:i w:val="false"/>
          <w:color w:val="000000"/>
          <w:sz w:val="28"/>
        </w:rPr>
        <w:t>23-тармағының</w:t>
      </w:r>
      <w:r>
        <w:rPr>
          <w:rFonts w:ascii="Times New Roman"/>
          <w:b w:val="false"/>
          <w:i w:val="false"/>
          <w:color w:val="000000"/>
          <w:sz w:val="28"/>
        </w:rPr>
        <w:t xml:space="preserve"> қолданысы 2020 жылғы 1 қаңтарға дейін тоқтатылсын.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2018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