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4c7f" w14:textId="f474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лотереялар және лотерея қызметі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29 қарашадағы № 340 және Қазақстан Республикасы Ұлттық экономика министрінің 2018 жылғы 30 қарашадағы № 91 бірлескен бұйрығы. Қазақстан Республикасының Әділет министрлігінде 2018 жылғы 30 қарашада № 17832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лотереялар және лотерея қызметі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14142 болып тіркелген, "Әділет" ақпараттық-құқықтық жүйесінде 2016 жылғы 9 қыркүйекте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Осы бірлескен бұйрыққа қосымшаға сәйкес 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бірлескен бұйрықты Қазақстан Республикасы Әдiлет министрлiгiнде мемлекеттiк тiркеуді;</w:t>
      </w:r>
    </w:p>
    <w:bookmarkEnd w:id="6"/>
    <w:bookmarkStart w:name="z12" w:id="7"/>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3" w:id="8"/>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4) осы бірлескен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10"/>
    <w:bookmarkStart w:name="z16"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340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Лотерея операторына қатысты Қазақстан Республикасының лотереялар және лотерея қызметі туралы заңнамасын сақтаудың мемлекеттік бақылау саласындағы тексеру парағы</w:t>
      </w:r>
    </w:p>
    <w:bookmarkEnd w:id="12"/>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Бақылау субъектінің (объектінің) тексеру туралы акт 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субъектінің (объектінің) (жеке сәйкестендіру нөмірі),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Орналасқан орнының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9225"/>
        <w:gridCol w:w="554"/>
        <w:gridCol w:w="554"/>
        <w:gridCol w:w="554"/>
        <w:gridCol w:w="554"/>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қылмыстық жолмен алынған кірістерді заңдастыруға (жылыстатуға) және терроризмді қаржыландыруға қарсы талаптардың сақталуын бақылауды жүзеге асыруға мүмкіндік беретін уәкілетті органға ақпаратты ұсыну жағдайын қоспағанда, лотереяны ұтқан қатысушы туралы мәліметтерді, егер оның жазбаша келісімі алынбаса, жария етпеу жөніндегі талаптарды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лотереялық ақпаратты өңдеу орталығының Қазақстан Республикасының аумағында орналасуы бойынша талаптарды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сақтауы:</w:t>
            </w:r>
            <w:r>
              <w:br/>
            </w:r>
            <w:r>
              <w:rPr>
                <w:rFonts w:ascii="Times New Roman"/>
                <w:b w:val="false"/>
                <w:i w:val="false"/>
                <w:color w:val="000000"/>
                <w:sz w:val="20"/>
              </w:rPr>
              <w:t>
1) техникалық сипаттамалар жүлде қорын ұтыс ойынына салу кезінде ұтыстарды бөлудің кездейсоқ болуын қамтамасыз етеді;</w:t>
            </w:r>
            <w:r>
              <w:br/>
            </w:r>
            <w:r>
              <w:rPr>
                <w:rFonts w:ascii="Times New Roman"/>
                <w:b w:val="false"/>
                <w:i w:val="false"/>
                <w:color w:val="000000"/>
                <w:sz w:val="20"/>
              </w:rPr>
              <w:t>
2) мұндай ұтыс ойынының басталуына дейін жүлделі қор ұтысын өткізу нәтижесін алдын ала айқындауға мүмкіндік беретін жасырын мүмкіндіктер және (немесе) рәсімдер мен алгоритмдердің болмауы;</w:t>
            </w:r>
            <w:r>
              <w:br/>
            </w:r>
            <w:r>
              <w:rPr>
                <w:rFonts w:ascii="Times New Roman"/>
                <w:b w:val="false"/>
                <w:i w:val="false"/>
                <w:color w:val="000000"/>
                <w:sz w:val="20"/>
              </w:rPr>
              <w:t>
3) лотерея мөлшерлемесін қабылдауды және тіркеуді қамтамасыз етпеуге тиіс, сондай-ақ байланыс желісі арқылы лотерея терминалдарымен қосылмауға тиіс</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сақтау, атап айтқанда:</w:t>
            </w:r>
            <w:r>
              <w:br/>
            </w:r>
            <w:r>
              <w:rPr>
                <w:rFonts w:ascii="Times New Roman"/>
                <w:b w:val="false"/>
                <w:i w:val="false"/>
                <w:color w:val="000000"/>
                <w:sz w:val="20"/>
              </w:rPr>
              <w:t>
1) өз клиенттері (олардың өкілдері) мен бенефициарлық меншіктерге дұрыс тексеру жүргізу кезінде мына шараларды жүзеге асыру:</w:t>
            </w:r>
            <w:r>
              <w:br/>
            </w:r>
            <w:r>
              <w:rPr>
                <w:rFonts w:ascii="Times New Roman"/>
                <w:b w:val="false"/>
                <w:i w:val="false"/>
                <w:color w:val="000000"/>
                <w:sz w:val="20"/>
              </w:rPr>
              <w:t>
жеке тұлғаны сәйкестендіру үшін қажетті мәліметтерді тіркеу, оның жеке басын куәландыратын құжаттар деректері, жеке сәйкестендіру нөмірі, сондай-ақ заңды мекенжайы;</w:t>
            </w:r>
            <w:r>
              <w:br/>
            </w:r>
            <w:r>
              <w:rPr>
                <w:rFonts w:ascii="Times New Roman"/>
                <w:b w:val="false"/>
                <w:i w:val="false"/>
                <w:color w:val="000000"/>
                <w:sz w:val="20"/>
              </w:rPr>
              <w:t>
клиент (оның өкілі) және бенефициар меншігі туралы шынайылықты тексеру және мәліметтерді жаңарту;</w:t>
            </w:r>
            <w:r>
              <w:br/>
            </w:r>
            <w:r>
              <w:rPr>
                <w:rFonts w:ascii="Times New Roman"/>
                <w:b w:val="false"/>
                <w:i w:val="false"/>
                <w:color w:val="000000"/>
                <w:sz w:val="20"/>
              </w:rPr>
              <w:t>
2) ішкі бақылау қағидаларына сәйкес өз клиенттерін (олардың өкілдерін) және бенефициар меншіктерін тиісті тексеруді жүзеге асыру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өткізу шарттары мынадай мәліметтерді қамтитын талаптарды сақтауы:</w:t>
            </w:r>
            <w:r>
              <w:br/>
            </w:r>
            <w:r>
              <w:rPr>
                <w:rFonts w:ascii="Times New Roman"/>
                <w:b w:val="false"/>
                <w:i w:val="false"/>
                <w:color w:val="000000"/>
                <w:sz w:val="20"/>
              </w:rPr>
              <w:t>
1) лотереяның атауын;</w:t>
            </w:r>
            <w:r>
              <w:br/>
            </w:r>
            <w:r>
              <w:rPr>
                <w:rFonts w:ascii="Times New Roman"/>
                <w:b w:val="false"/>
                <w:i w:val="false"/>
                <w:color w:val="000000"/>
                <w:sz w:val="20"/>
              </w:rPr>
              <w:t>
2) лотерея түрінің көрсетілуін;</w:t>
            </w:r>
            <w:r>
              <w:br/>
            </w:r>
            <w:r>
              <w:rPr>
                <w:rFonts w:ascii="Times New Roman"/>
                <w:b w:val="false"/>
                <w:i w:val="false"/>
                <w:color w:val="000000"/>
                <w:sz w:val="20"/>
              </w:rPr>
              <w:t>
3) орналасқан жері, банктік деректемелері, бизнес сәйкестендіру нөмірі көрсетілген лотерея операторының атауын;</w:t>
            </w:r>
            <w:r>
              <w:br/>
            </w:r>
            <w:r>
              <w:rPr>
                <w:rFonts w:ascii="Times New Roman"/>
                <w:b w:val="false"/>
                <w:i w:val="false"/>
                <w:color w:val="000000"/>
                <w:sz w:val="20"/>
              </w:rPr>
              <w:t>
4) лотерея өткізілетін мерзімдерді;</w:t>
            </w:r>
            <w:r>
              <w:br/>
            </w:r>
            <w:r>
              <w:rPr>
                <w:rFonts w:ascii="Times New Roman"/>
                <w:b w:val="false"/>
                <w:i w:val="false"/>
                <w:color w:val="000000"/>
                <w:sz w:val="20"/>
              </w:rPr>
              <w:t>
5) лотерея тұжырымдамасының сипаттамасын;</w:t>
            </w:r>
            <w:r>
              <w:br/>
            </w:r>
            <w:r>
              <w:rPr>
                <w:rFonts w:ascii="Times New Roman"/>
                <w:b w:val="false"/>
                <w:i w:val="false"/>
                <w:color w:val="000000"/>
                <w:sz w:val="20"/>
              </w:rPr>
              <w:t>
6) лотереяның ұйымдастырушылық-технологиялық сипаттамасын;</w:t>
            </w:r>
            <w:r>
              <w:br/>
            </w:r>
            <w:r>
              <w:rPr>
                <w:rFonts w:ascii="Times New Roman"/>
                <w:b w:val="false"/>
                <w:i w:val="false"/>
                <w:color w:val="000000"/>
                <w:sz w:val="20"/>
              </w:rPr>
              <w:t>
7) лотереяға қатысушылардың құқықтары мен міндеттерін;</w:t>
            </w:r>
            <w:r>
              <w:br/>
            </w:r>
            <w:r>
              <w:rPr>
                <w:rFonts w:ascii="Times New Roman"/>
                <w:b w:val="false"/>
                <w:i w:val="false"/>
                <w:color w:val="000000"/>
                <w:sz w:val="20"/>
              </w:rPr>
              <w:t>
8) ұтты деп танылған лотереяға қатысушыға ұтысты төлеу тәртібі мен мерзімдерін, сондай-ақ ұтыс шыққан лотерея билеттеріне, түбіртектерге немесе өзге де құжаттарға сараптама жүргізу мерзімдерін;</w:t>
            </w:r>
            <w:r>
              <w:br/>
            </w: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тәртібін;</w:t>
            </w:r>
            <w:r>
              <w:br/>
            </w:r>
            <w:r>
              <w:rPr>
                <w:rFonts w:ascii="Times New Roman"/>
                <w:b w:val="false"/>
                <w:i w:val="false"/>
                <w:color w:val="000000"/>
                <w:sz w:val="20"/>
              </w:rPr>
              <w:t>
10) лотерея билеттерін, түбіртіктерді немесе өзге де құжаттарды тарату (өткізу), лотерея мөлшерлемелерін қабылдау мен тіркеу тәртібін;</w:t>
            </w:r>
            <w:r>
              <w:br/>
            </w:r>
            <w:r>
              <w:rPr>
                <w:rFonts w:ascii="Times New Roman"/>
                <w:b w:val="false"/>
                <w:i w:val="false"/>
                <w:color w:val="000000"/>
                <w:sz w:val="20"/>
              </w:rPr>
              <w:t>
11) лотерея билетінің, түбіртектің немесе өзге де құжаттың (лотерея мөлшерлемелерінің мөлшерін) бағасын;</w:t>
            </w:r>
            <w:r>
              <w:br/>
            </w:r>
            <w:r>
              <w:rPr>
                <w:rFonts w:ascii="Times New Roman"/>
                <w:b w:val="false"/>
                <w:i w:val="false"/>
                <w:color w:val="000000"/>
                <w:sz w:val="20"/>
              </w:rPr>
              <w:t>
12) ұтыстың мөлшері мен нысанын (ақшалай немесе заттай);</w:t>
            </w:r>
            <w:r>
              <w:br/>
            </w:r>
            <w:r>
              <w:rPr>
                <w:rFonts w:ascii="Times New Roman"/>
                <w:b w:val="false"/>
                <w:i w:val="false"/>
                <w:color w:val="000000"/>
                <w:sz w:val="20"/>
              </w:rPr>
              <w:t>
13) жүлде қорының жоспарланып отырған мөлшерін;</w:t>
            </w:r>
            <w:r>
              <w:br/>
            </w:r>
            <w:r>
              <w:rPr>
                <w:rFonts w:ascii="Times New Roman"/>
                <w:b w:val="false"/>
                <w:i w:val="false"/>
                <w:color w:val="000000"/>
                <w:sz w:val="20"/>
              </w:rPr>
              <w:t>
14) жүлде қорының ұтыс ойынын өткізу тәртібін, ұтыстарды айқындау алгоритмін, бас жүлдені (болған жағдайда) қалыптастыру мен ұтысқа салу қағидаларын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өткізілген лотерея билеттерінен, түбіртектерден немесе өзге де құжаттардан, нақты лотереяның тіркелген лотерея мөлшерлемелерінен түскен түсімнің кемінде елу пайызы мөлшерінде жүлде қорын қалыптастыруды қамтамасыз ету бойынша міндеттерді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төлеуді жүзеге асыру бойынша талаптарды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сақтау, сондай-ақ олар салықтық емес төлем түрінде бюджет кірісіне есепке жатқызу бойынша талаптарды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билеттерінде, түбіртектерде немесе өзге де құжаттарда мынадай міндетті ақпаратты қамту бойынша талаптарды сақтауы:</w:t>
            </w:r>
            <w:r>
              <w:br/>
            </w:r>
            <w:r>
              <w:rPr>
                <w:rFonts w:ascii="Times New Roman"/>
                <w:b w:val="false"/>
                <w:i w:val="false"/>
                <w:color w:val="000000"/>
                <w:sz w:val="20"/>
              </w:rPr>
              <w:t>
1) лотереяның атауы;</w:t>
            </w:r>
            <w:r>
              <w:br/>
            </w:r>
            <w:r>
              <w:rPr>
                <w:rFonts w:ascii="Times New Roman"/>
                <w:b w:val="false"/>
                <w:i w:val="false"/>
                <w:color w:val="000000"/>
                <w:sz w:val="20"/>
              </w:rPr>
              <w:t>
2) лотерея операторының атауы, орналасқан жері, телефон нөмірлері және интернет-ресурсы;</w:t>
            </w:r>
            <w:r>
              <w:br/>
            </w:r>
            <w:r>
              <w:rPr>
                <w:rFonts w:ascii="Times New Roman"/>
                <w:b w:val="false"/>
                <w:i w:val="false"/>
                <w:color w:val="000000"/>
                <w:sz w:val="20"/>
              </w:rPr>
              <w:t>
3) тираждың нөмірі немесе атауы (тираждық лотереялар үшін);</w:t>
            </w:r>
            <w:r>
              <w:br/>
            </w:r>
            <w:r>
              <w:rPr>
                <w:rFonts w:ascii="Times New Roman"/>
                <w:b w:val="false"/>
                <w:i w:val="false"/>
                <w:color w:val="000000"/>
                <w:sz w:val="20"/>
              </w:rPr>
              <w:t>
4) лотерея билетінің, түбіртектің немесе өзге де құжаттың нөмірі;</w:t>
            </w:r>
            <w:r>
              <w:br/>
            </w:r>
            <w:r>
              <w:rPr>
                <w:rFonts w:ascii="Times New Roman"/>
                <w:b w:val="false"/>
                <w:i w:val="false"/>
                <w:color w:val="000000"/>
                <w:sz w:val="20"/>
              </w:rPr>
              <w:t>
5) лотерея билетінің, түбіртектің немесе өзге де құжаттың бағасы;</w:t>
            </w:r>
            <w:r>
              <w:br/>
            </w:r>
            <w:r>
              <w:rPr>
                <w:rFonts w:ascii="Times New Roman"/>
                <w:b w:val="false"/>
                <w:i w:val="false"/>
                <w:color w:val="000000"/>
                <w:sz w:val="20"/>
              </w:rPr>
              <w:t>
6) жүлде қорының ұтыс ойынын өткізу күні мен орны (тираждық лотерея үшін);</w:t>
            </w:r>
            <w:r>
              <w:br/>
            </w:r>
            <w:r>
              <w:rPr>
                <w:rFonts w:ascii="Times New Roman"/>
                <w:b w:val="false"/>
                <w:i w:val="false"/>
                <w:color w:val="000000"/>
                <w:sz w:val="20"/>
              </w:rPr>
              <w:t>
7) ұтысты алу орны мен мерзімдері туралы деректер;</w:t>
            </w:r>
            <w:r>
              <w:br/>
            </w:r>
            <w:r>
              <w:rPr>
                <w:rFonts w:ascii="Times New Roman"/>
                <w:b w:val="false"/>
                <w:i w:val="false"/>
                <w:color w:val="000000"/>
                <w:sz w:val="20"/>
              </w:rPr>
              <w:t>
8) жүлде қорының мөлшері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Тираждық комиссия мүшелерімен хаттаманы және тиражды өткізу нәтижелерінің ресми кестесіне қол қою арқылы тіркелетін лотерея билеттері, түбіртектері немесе өзге де құжаттары және (немесе) тіркелген лотерея ұтысы тиражының ойынында қатысатын санын растау бойынша тираждық комиссиясының міндеттерін сақтау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қорының әрбір ұтыс ойынын және лотерея билеттері, түбіртектер немесе өзге де құжаттар, тираждық лотереяның тіркелген лотерея мөлшерлемелері бойынша ұтыстардың нәтижелерін лотерея операторы көрсетілген ұтыс ойыны өткізілген кезден бастап үш жұмыс күні ішінде Қазақстан Республикасының бүкіл аумағында таралатын мерзімді баспасөз басылымдарында жариялайды немесе он екі сағат ішінде лотерея операторының интернет-ресурсында орналастыруға қойылатын талаптарды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спортты дамытуға тоқсан сайын бағыттау міндетін сақтауы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(тұлғалар)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субъектінің басшысы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