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a553" w14:textId="114a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30 қарашадағы № 483 және Қазақстан Республикасы Ұлттық экономика министрінің 2018 жылғы 30 қарашадағы № 92 бірлескен бұйрығы. Қазақстан Республикасының Әділет министрлігінде 2018 жылғы 30 қарашада № 17833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14272 болып тіркелген, 2016 жылғы 13 қазанда "Әділет" ақпараттық-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биоотын өндірісі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бірлескен бұйрықпен бекітілген биоотын өндірісі бойынша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бірлескен бұйрықты мемлекеттік тіркелген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бірлескен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бірлескен бұйрық Қазақстан Республикасы Әділет министрлігінде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24 тамыздағы</w:t>
            </w:r>
            <w:r>
              <w:br/>
            </w:r>
            <w:r>
              <w:rPr>
                <w:rFonts w:ascii="Times New Roman"/>
                <w:b w:val="false"/>
                <w:i w:val="false"/>
                <w:color w:val="000000"/>
                <w:sz w:val="20"/>
              </w:rPr>
              <w:t>№ 381 бірлескен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Биоотын өндірісі саласындағы тәуекел дәрежесін бағалау өлшемшарттары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Биоотын өндірісі саласындағы тәуекел дәрежесін бағалау өлшемшарттары (бұдан әрі – өлшемшарттар) биоотын өндірісі саласындағы бақылау субъектілерін (объектілерін) тәуекел дәрежелеріне жатқызу мақсатында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тәуекелдерді бағалау жүйесін қалыптастыру қағидаларына және тексеру парақтарына сәйкес әзірленді.</w:t>
      </w:r>
    </w:p>
    <w:bookmarkEnd w:id="14"/>
    <w:bookmarkStart w:name="z17"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p>
      <w:pPr>
        <w:spacing w:after="0"/>
        <w:ind w:left="0"/>
        <w:jc w:val="both"/>
      </w:pPr>
      <w:r>
        <w:rPr>
          <w:rFonts w:ascii="Times New Roman"/>
          <w:b w:val="false"/>
          <w:i w:val="false"/>
          <w:color w:val="000000"/>
          <w:sz w:val="28"/>
        </w:rPr>
        <w:t>
      1) бақылау субъектілері (объектілері) – биоотын өндіруді жүзеге асыратын заңды тұлғалар;</w:t>
      </w:r>
    </w:p>
    <w:p>
      <w:pPr>
        <w:spacing w:after="0"/>
        <w:ind w:left="0"/>
        <w:jc w:val="both"/>
      </w:pPr>
      <w:r>
        <w:rPr>
          <w:rFonts w:ascii="Times New Roman"/>
          <w:b w:val="false"/>
          <w:i w:val="false"/>
          <w:color w:val="000000"/>
          <w:sz w:val="28"/>
        </w:rPr>
        <w:t>
      2) биоотын өндірісі саласындағы тәуекел – тамақ шикізатын биоотынға пайдалануға байланысты республика аумағында азық-түлік қауіпсіздігі қатерінің туындау ықтималдығы;</w:t>
      </w:r>
    </w:p>
    <w:p>
      <w:pPr>
        <w:spacing w:after="0"/>
        <w:ind w:left="0"/>
        <w:jc w:val="both"/>
      </w:pPr>
      <w:r>
        <w:rPr>
          <w:rFonts w:ascii="Times New Roman"/>
          <w:b w:val="false"/>
          <w:i w:val="false"/>
          <w:color w:val="000000"/>
          <w:sz w:val="28"/>
        </w:rPr>
        <w:t>
      3) болмашы бұзушылық – биоотын саласындағы нормативтік құқықтық актілермен белгіленген талаптарды өндірушілердің биоотын өндірісі саласындағы уәкілетті органға есептерді уақтылы ұсынбауы бөлігінде бұзу;</w:t>
      </w:r>
    </w:p>
    <w:p>
      <w:pPr>
        <w:spacing w:after="0"/>
        <w:ind w:left="0"/>
        <w:jc w:val="both"/>
      </w:pPr>
      <w:r>
        <w:rPr>
          <w:rFonts w:ascii="Times New Roman"/>
          <w:b w:val="false"/>
          <w:i w:val="false"/>
          <w:color w:val="000000"/>
          <w:sz w:val="28"/>
        </w:rPr>
        <w:t>
      4) елеулі бұзушылық – биоотын саласындағы нормативтік құқықтық актілермен белгіленген талаптарды өндірушілердің биоотын өндірісі саласындағы уәкілетті органға есептерді ұсынбауы,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болмауы, есепке алатын бақылау аспаптарының болмауы және олардың ақаулы жағдайда болуы бөлігінде бұзу;</w:t>
      </w:r>
    </w:p>
    <w:p>
      <w:pPr>
        <w:spacing w:after="0"/>
        <w:ind w:left="0"/>
        <w:jc w:val="both"/>
      </w:pPr>
      <w:r>
        <w:rPr>
          <w:rFonts w:ascii="Times New Roman"/>
          <w:b w:val="false"/>
          <w:i w:val="false"/>
          <w:color w:val="000000"/>
          <w:sz w:val="28"/>
        </w:rPr>
        <w:t>
      5) өрескел бұзушылық – биоотын саласындағы нормативтік құқықтық актілермен белгіленген талаптарды кейіннен биоотынға өңдеу үшін тамақ шикізатын биоотын өндірісі саласындағы уәкілетті орган белгілеген квотадан асатын көлемде пайдалану, биоотын өндірісі паспортының болмауы, биоотын өндіру үшін тамақ шикізаты құрамының сәйкес келуі (бидайдың 1-2-сыныптарын пайдалануға жол берілмейді) бөлігінде бұзу;</w:t>
      </w:r>
    </w:p>
    <w:p>
      <w:pPr>
        <w:spacing w:after="0"/>
        <w:ind w:left="0"/>
        <w:jc w:val="both"/>
      </w:pPr>
      <w:r>
        <w:rPr>
          <w:rFonts w:ascii="Times New Roman"/>
          <w:b w:val="false"/>
          <w:i w:val="false"/>
          <w:color w:val="000000"/>
          <w:sz w:val="28"/>
        </w:rPr>
        <w:t>
      6) тәуекел дәрежесінің объективті өлшемшарттары – биоотын өндірісі саласындағы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7) тәуекел дәрежесінің субъективті өлшемшарттары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xml:space="preserve">
      8) тәуекелдерді бағалау жүйесі – бақылау субъектісіне (объектісіне) бару арқылы профилактикалық бақылау тағайындау мақсатында бақылау органы жүргізетін іс-шаралар кешені; </w:t>
      </w:r>
    </w:p>
    <w:p>
      <w:pPr>
        <w:spacing w:after="0"/>
        <w:ind w:left="0"/>
        <w:jc w:val="both"/>
      </w:pPr>
      <w:r>
        <w:rPr>
          <w:rFonts w:ascii="Times New Roman"/>
          <w:b w:val="false"/>
          <w:i w:val="false"/>
          <w:color w:val="000000"/>
          <w:sz w:val="28"/>
        </w:rPr>
        <w:t>
      9) тексеру парағы – сақталмауы адам өмірі мен денсаулығына, қоршаған ортаға, жеке және заңды тұлғалардың, мемлекеттің заңды мүдделеріне қауіп төндіретін, субъектілердің (объектілердің) қызметіне қойылатын талаптарды қамтитын талаптар тізбесі.</w:t>
      </w:r>
    </w:p>
    <w:bookmarkStart w:name="z18" w:id="16"/>
    <w:p>
      <w:pPr>
        <w:spacing w:after="0"/>
        <w:ind w:left="0"/>
        <w:jc w:val="both"/>
      </w:pPr>
      <w:r>
        <w:rPr>
          <w:rFonts w:ascii="Times New Roman"/>
          <w:b w:val="false"/>
          <w:i w:val="false"/>
          <w:color w:val="000000"/>
          <w:sz w:val="28"/>
        </w:rPr>
        <w:t>
      3.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жүргізіледі.</w:t>
      </w:r>
    </w:p>
    <w:bookmarkEnd w:id="16"/>
    <w:bookmarkStart w:name="z19" w:id="17"/>
    <w:p>
      <w:pPr>
        <w:spacing w:after="0"/>
        <w:ind w:left="0"/>
        <w:jc w:val="both"/>
      </w:pPr>
      <w:r>
        <w:rPr>
          <w:rFonts w:ascii="Times New Roman"/>
          <w:b w:val="false"/>
          <w:i w:val="false"/>
          <w:color w:val="000000"/>
          <w:sz w:val="28"/>
        </w:rPr>
        <w:t>
      4. Бақылау субъектілерін (объектілерін) тәуекелдің дәрежелері бойынша бөлу объективті және субъективті өлшемшарттар негізінде жүзеге асырылады.</w:t>
      </w:r>
    </w:p>
    <w:bookmarkEnd w:id="17"/>
    <w:bookmarkStart w:name="z20" w:id="18"/>
    <w:p>
      <w:pPr>
        <w:spacing w:after="0"/>
        <w:ind w:left="0"/>
        <w:jc w:val="left"/>
      </w:pPr>
      <w:r>
        <w:rPr>
          <w:rFonts w:ascii="Times New Roman"/>
          <w:b/>
          <w:i w:val="false"/>
          <w:color w:val="000000"/>
        </w:rPr>
        <w:t xml:space="preserve"> 2-тарау. Объективті өлшемшарттар</w:t>
      </w:r>
    </w:p>
    <w:bookmarkEnd w:id="18"/>
    <w:bookmarkStart w:name="z21" w:id="19"/>
    <w:p>
      <w:pPr>
        <w:spacing w:after="0"/>
        <w:ind w:left="0"/>
        <w:jc w:val="both"/>
      </w:pPr>
      <w:r>
        <w:rPr>
          <w:rFonts w:ascii="Times New Roman"/>
          <w:b w:val="false"/>
          <w:i w:val="false"/>
          <w:color w:val="000000"/>
          <w:sz w:val="28"/>
        </w:rPr>
        <w:t>
      5. Бақылау субъектілерінің (объектілерінің) тәуекел дәрежесін объективті өлшемшарттар бойынша бағалау тамақ шикізатын биоотынға пайдалануға байланысты республика аумағында азық-түлік қауіпсіздігі қатерінің туындауы, оның салдарларының ауырлық дәрежесін ескере отырып, бақылау субъектісі (объектісі) қызметінің нәтижесінде жеке және заңды тұлғалардың заңды мүдделеріне, мемлекеттің мүліктік мүдделеріне зиян келтіру ықтималдығы негізінде жүзеге асырылады.</w:t>
      </w:r>
    </w:p>
    <w:bookmarkEnd w:id="19"/>
    <w:p>
      <w:pPr>
        <w:spacing w:after="0"/>
        <w:ind w:left="0"/>
        <w:jc w:val="both"/>
      </w:pPr>
      <w:r>
        <w:rPr>
          <w:rFonts w:ascii="Times New Roman"/>
          <w:b w:val="false"/>
          <w:i w:val="false"/>
          <w:color w:val="000000"/>
          <w:sz w:val="28"/>
        </w:rPr>
        <w:t>
      Объективті өлшемшарттар бойынша жоғары қоғамдық тәуекелдерді ескере отырып, биоотын өндіруді жүзеге асыратын заңды тұлғалар тәуекелдің жоғары дәрежесіне жатқызылады.</w:t>
      </w:r>
    </w:p>
    <w:bookmarkStart w:name="z22" w:id="20"/>
    <w:p>
      <w:pPr>
        <w:spacing w:after="0"/>
        <w:ind w:left="0"/>
        <w:jc w:val="left"/>
      </w:pPr>
      <w:r>
        <w:rPr>
          <w:rFonts w:ascii="Times New Roman"/>
          <w:b/>
          <w:i w:val="false"/>
          <w:color w:val="000000"/>
        </w:rPr>
        <w:t xml:space="preserve"> 3-тарау. Субъективті өлшемшарттар</w:t>
      </w:r>
    </w:p>
    <w:bookmarkEnd w:id="20"/>
    <w:bookmarkStart w:name="z23" w:id="21"/>
    <w:p>
      <w:pPr>
        <w:spacing w:after="0"/>
        <w:ind w:left="0"/>
        <w:jc w:val="both"/>
      </w:pPr>
      <w:r>
        <w:rPr>
          <w:rFonts w:ascii="Times New Roman"/>
          <w:b w:val="false"/>
          <w:i w:val="false"/>
          <w:color w:val="000000"/>
          <w:sz w:val="28"/>
        </w:rPr>
        <w:t>
      6. Субъективті өлшемшарттарды айқындау:</w:t>
      </w:r>
    </w:p>
    <w:bookmarkEnd w:id="21"/>
    <w:p>
      <w:pPr>
        <w:spacing w:after="0"/>
        <w:ind w:left="0"/>
        <w:jc w:val="both"/>
      </w:pPr>
      <w:r>
        <w:rPr>
          <w:rFonts w:ascii="Times New Roman"/>
          <w:b w:val="false"/>
          <w:i w:val="false"/>
          <w:color w:val="000000"/>
          <w:sz w:val="28"/>
        </w:rPr>
        <w:t>
      1) дерекқорларды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Start w:name="z24" w:id="22"/>
    <w:p>
      <w:pPr>
        <w:spacing w:after="0"/>
        <w:ind w:left="0"/>
        <w:jc w:val="both"/>
      </w:pPr>
      <w:r>
        <w:rPr>
          <w:rFonts w:ascii="Times New Roman"/>
          <w:b w:val="false"/>
          <w:i w:val="false"/>
          <w:color w:val="000000"/>
          <w:sz w:val="28"/>
        </w:rPr>
        <w:t>
      7. Субъективті өлшемшарттар бойынша бақылау субъектілерінің (объектілерінің) тәуекел дәрежесін бағалау мынадай көрсеткіштер бойынша жүзеге асырылады:</w:t>
      </w:r>
    </w:p>
    <w:bookmarkEnd w:id="22"/>
    <w:p>
      <w:pPr>
        <w:spacing w:after="0"/>
        <w:ind w:left="0"/>
        <w:jc w:val="both"/>
      </w:pPr>
      <w:r>
        <w:rPr>
          <w:rFonts w:ascii="Times New Roman"/>
          <w:b w:val="false"/>
          <w:i w:val="false"/>
          <w:color w:val="000000"/>
          <w:sz w:val="28"/>
        </w:rPr>
        <w:t xml:space="preserve">
      1) бақылау субъектілері (объектілері) жергілікті атқарушы органның құрылымдық бөлімшелеріне ұсынатын есептілік пен мәліметтерді мониторингтеу нәтижелері, ол "Бақылау субъектілері (объектілері) жергілікті атқарушы органның құрылымдық бөлімшелеріне ұсынатын есептілік пен мәліметтерді мониторингтеу нәтижелері" ақпарат көзі бойынша субъективті өлшемшарттар бойынша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алдыңғы бақылау субъектілеріне (объектілеріне) бару арқылы профилактикалық бақылаудың нәтижелері. Бұл ретте бұзушылықтардың дәрежесі (өрескел, елеулі) "Алдыңғы бару арқылы профилактикалық бақылаудың нәтижелері" ақпарат көзі бойынша субъективті өлшемшарттар бойынша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25" w:id="23"/>
    <w:p>
      <w:pPr>
        <w:spacing w:after="0"/>
        <w:ind w:left="0"/>
        <w:jc w:val="both"/>
      </w:pPr>
      <w:r>
        <w:rPr>
          <w:rFonts w:ascii="Times New Roman"/>
          <w:b w:val="false"/>
          <w:i w:val="false"/>
          <w:color w:val="000000"/>
          <w:sz w:val="28"/>
        </w:rPr>
        <w:t>
      8. Реттеуші мемлекеттік органның тәуекел дәрежесін бағалау өлшемшарттарына сәйкес субъективті өлшемшарттардың тәуекел дәрежесінің көрсеткіші 0-ден 100-ге дейінгі шәкіл бойынша есептеледі.</w:t>
      </w:r>
    </w:p>
    <w:bookmarkEnd w:id="23"/>
    <w:p>
      <w:pPr>
        <w:spacing w:after="0"/>
        <w:ind w:left="0"/>
        <w:jc w:val="both"/>
      </w:pPr>
      <w:r>
        <w:rPr>
          <w:rFonts w:ascii="Times New Roman"/>
          <w:b w:val="false"/>
          <w:i w:val="false"/>
          <w:color w:val="000000"/>
          <w:sz w:val="28"/>
        </w:rPr>
        <w:t>
      Бір өрескел дәрежедегі бұзушылық 100 көрсеткішке теңестіріледі.</w:t>
      </w:r>
    </w:p>
    <w:p>
      <w:pPr>
        <w:spacing w:after="0"/>
        <w:ind w:left="0"/>
        <w:jc w:val="both"/>
      </w:pPr>
      <w:r>
        <w:rPr>
          <w:rFonts w:ascii="Times New Roman"/>
          <w:b w:val="false"/>
          <w:i w:val="false"/>
          <w:color w:val="000000"/>
          <w:sz w:val="28"/>
        </w:rPr>
        <w:t>
      Егер өрескел дәрежедегі бұзушылық анықталмаса, тәуекел дәрежесінің көрсеткішін айқындау үшін елеулі және болмашы дәрежедегі бұзушылықтардың көрсеткіштері есептеледі, сосын қосылады.</w:t>
      </w:r>
    </w:p>
    <w:p>
      <w:pPr>
        <w:spacing w:after="0"/>
        <w:ind w:left="0"/>
        <w:jc w:val="both"/>
      </w:pPr>
      <w:r>
        <w:rPr>
          <w:rFonts w:ascii="Times New Roman"/>
          <w:b w:val="false"/>
          <w:i w:val="false"/>
          <w:color w:val="000000"/>
          <w:sz w:val="28"/>
        </w:rPr>
        <w:t>
      Елеулі дәрежедегі бұзушылықтар көрсеткішін айқындау кезінде 0,7 салмақ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Тәуекел дәрежесінің көрсеткіштері бойынша тексерілетін бақылау субъектісі (объектісі) мыналарға жатады:</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61-ден 100-ге дейін болған кезде;</w:t>
      </w:r>
    </w:p>
    <w:p>
      <w:pPr>
        <w:spacing w:after="0"/>
        <w:ind w:left="0"/>
        <w:jc w:val="both"/>
      </w:pPr>
      <w:r>
        <w:rPr>
          <w:rFonts w:ascii="Times New Roman"/>
          <w:b w:val="false"/>
          <w:i w:val="false"/>
          <w:color w:val="000000"/>
          <w:sz w:val="28"/>
        </w:rPr>
        <w:t>
      2) тәуекелдің жоғары дәрежесіне жатқызылмағанға – тәуекел дәрежесінің көрсеткіші 0-ден 60-қа дейін болған кезде.</w:t>
      </w:r>
    </w:p>
    <w:bookmarkStart w:name="z26" w:id="24"/>
    <w:p>
      <w:pPr>
        <w:spacing w:after="0"/>
        <w:ind w:left="0"/>
        <w:jc w:val="both"/>
      </w:pPr>
      <w:r>
        <w:rPr>
          <w:rFonts w:ascii="Times New Roman"/>
          <w:b w:val="false"/>
          <w:i w:val="false"/>
          <w:color w:val="000000"/>
          <w:sz w:val="28"/>
        </w:rPr>
        <w:t>
      9. Бақылау субъектісіне (объектісіне) бару арқылы профилактикалық бақылау жүргізудің еселілігі жылына бір реттен аспайды.</w:t>
      </w:r>
    </w:p>
    <w:bookmarkEnd w:id="24"/>
    <w:bookmarkStart w:name="z27" w:id="25"/>
    <w:p>
      <w:pPr>
        <w:spacing w:after="0"/>
        <w:ind w:left="0"/>
        <w:jc w:val="both"/>
      </w:pPr>
      <w:r>
        <w:rPr>
          <w:rFonts w:ascii="Times New Roman"/>
          <w:b w:val="false"/>
          <w:i w:val="false"/>
          <w:color w:val="000000"/>
          <w:sz w:val="28"/>
        </w:rPr>
        <w:t xml:space="preserve">
      10. Бақылау субъектісіне (объектісіне) бару арқылы профилактикалық бақылау Кәсіпкерлік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25"/>
    <w:bookmarkStart w:name="z28" w:id="26"/>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тізімдері субъективті өлшемшарттар бойынша тәуекел дәрежесінің неғұрлым жоғары көрсеткіші бар бақылау субъектісінің басымдығы ескеріле отырып жасалады.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"Бақылау субъектілері (объектілері) жергілікті атқарушы органның құрылымдық бөлімшелеріне ұсынатын есептілік пен мәліметтерді мониторингтеу нәтижелері"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7030"/>
        <w:gridCol w:w="190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биоотын өндірісі саласындағы уәкілетті органға есептерді ұсынбауы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"Алдыңғы бару арқылы профилактикалық бақылаудың нәтижелері"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247"/>
        <w:gridCol w:w="742"/>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 дәрежесі төменде тізбеленген талаптарды </w:t>
            </w:r>
            <w:r>
              <w:br/>
            </w:r>
            <w:r>
              <w:rPr>
                <w:rFonts w:ascii="Times New Roman"/>
                <w:b w:val="false"/>
                <w:i w:val="false"/>
                <w:color w:val="000000"/>
                <w:sz w:val="20"/>
              </w:rPr>
              <w:t>
сақтамаған жағдайда белгіленеді:</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биоотынға өңдеу үшін пайдаланатын тамақ шикізатына квоталарды сақтау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сәйкестігі (бидайдың 1-2-сыныптарын пайдалануға жол берілмейді)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бар болуы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бар болуы және олардың ақаусыз жай-күйі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24 тамыздағы</w:t>
            </w:r>
            <w:r>
              <w:br/>
            </w:r>
            <w:r>
              <w:rPr>
                <w:rFonts w:ascii="Times New Roman"/>
                <w:b w:val="false"/>
                <w:i w:val="false"/>
                <w:color w:val="000000"/>
                <w:sz w:val="20"/>
              </w:rPr>
              <w:t>№ 381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биоотын өндірісі саласында/аясында________________________________________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биоотын өндірісін жүзеге асыратын бақылау субъектісіне (объектісіне) қатысты </w:t>
      </w:r>
    </w:p>
    <w:p>
      <w:pPr>
        <w:spacing w:after="0"/>
        <w:ind w:left="0"/>
        <w:jc w:val="both"/>
      </w:pPr>
      <w:r>
        <w:rPr>
          <w:rFonts w:ascii="Times New Roman"/>
          <w:b w:val="false"/>
          <w:i w:val="false"/>
          <w:color w:val="000000"/>
          <w:sz w:val="28"/>
        </w:rPr>
        <w:t xml:space="preserve">
      тексерілетін субъектілердің (объектілердің)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8046"/>
        <w:gridCol w:w="806"/>
        <w:gridCol w:w="806"/>
        <w:gridCol w:w="806"/>
        <w:gridCol w:w="806"/>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биоотынға өңдеу үшін пайдаланатын тамақ шикізатына квоталарды сақтау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 үшін тамақ шикізаты құрамының сәйкес келуі (бидайдың 1-2-сыныптарын пайдалануға жол берілмейді)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бар болуы және олардың ақаусыз жай-күйі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____________________ 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 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