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e925" w14:textId="048e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м.а. 2018 жылғы 7 желтоқсандағы № 483 бұйрығы. Қазақстан Республикасының Әділет министрлігінде 2018 жылғы 13 желтоқсанда № 17931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"Жер қойнауын пайдалану саласындағы Қазақстан Республикасы Энергетика министрлігінің мемлекеттік көрсетілетін қызметтер стандарттарын бекіту туралы" Қазақстан Республикасы Энергетика министрінің 2015 жылғы 23 сәуірдегі № 304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11306 болып тіркелген, 2015 жылғы 15 шілдеде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"Жер қойнауын пайдалану саласындағы мемлекеттік көрсетілетін қызметтер регламенттерін бекіту туралы" Қазақстан Республикасы Энергетика министрінің 2015 жылғы 9 маусымдағы № 393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11815 болып тіркелген, 2015 жылғы 17 тамызда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r>
              <w:br/>
            </w:r>
            <w:r>
              <w:rPr>
                <w:rFonts w:ascii="Times New Roman"/>
                <w:b w:val="false"/>
                <w:i/>
                <w:color w:val="000000"/>
                <w:sz w:val="20"/>
              </w:rPr>
              <w:t xml:space="preserve">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