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500c" w14:textId="e945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Қостомар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Бұлақсай ауылдық округі әкімінің 2018 жылғы 16 тамыздағы № 58 шешімі. Ақмола облысының Әділет департаментінде 2018 жылғы 5 қыркүйекте № 6775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– 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халықтың пікірін ескере отырып және Ақмола облыстық ономастика комиссиясының 2017 жылғы 24 қазандағы қорытындысы негізінде, Бұлақсай ауылдық округі әкімінің міндетін атқарушы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Қостомар ауылының көшелеріне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көшеге - Есіл;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көшеге - Қараөткел;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көшеге - Көкжиек;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көшеге - Сарыбел;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көшеге - Тұран;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6 көшеге - Жеңіс;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7 көшеге -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8 көшеге - Қазына;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9 көшеге - Шапағат;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10 көшеге - Сарыжайлау;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11 көшеге - Жаңа 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12 көшеге - Шымбұлақ;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 13 көшеге - Тәуелсіздік;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№ 15 көшеге - Нұрлы 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№ 16 көшеге - Өркен;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№ 17 көшеге - Арғымақ;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№ 18 көшеге - Отырар.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Бұлақсай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К.Джандыбаев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