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0824" w14:textId="eea0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Қабанбай батыр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Қабанбай батыр ауылдық округі әкімінің 2018 жылғы 26 қаңтардағы № 1 шешімі. Ақмола облысының Әділет департаментінде 2018 жылғы 12 ақпанда № 6389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әкімішілік-аумақтық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негізінде, Қабанбай батыр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Қабанбай батыр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Нуринская көшесі Нұра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Революционная көшесі Желтоқсан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 көшесі Бейбітшілік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Тельман көшесі Бірлік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 көшесі Достық көшесіне;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Целинная көшесі Сарыарқа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Победа көшесі Жеңіс көшесіне;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Макаренко көшесі Сарыадыр көшесіне;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Школьный квартал көшесі Ыбырай Алтынсарин көшесіне;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Новый квартал көшесі Ынтымақ көшесіне;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Степная көшесі Бытығай көшесіне;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Молодежная көшесі Жастар көшесіне;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Джамбула-подстанция көшесі Энергетиктер көшесіне;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Коммунистическая көшесі Тәуелсіздік көшесіне;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Спортивная көшесі Жағалау көшесіне;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Пионерская көшесі Майбалық көшесіне;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Лихачев көшесі Борлыкөл көшесіне;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Октябрьская көшесі Үш тас көшесіне.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Қабанбай батыр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