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77d5" w14:textId="b08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Родина ауылдық округінің Родина, Зеленый Гай ауылдарының құрамдас бөліктерін және Садовое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Родина ауылдық округі әкімінің 2018 жылғы 12 ақпандағы № 1 шешімі. Ақмола облысының Әділет департаментінде 2018 жылғы 28 ақпанда № 6443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корытындысы негізінде, Родина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Родина ауылдық округінің Родина ауылының келесі тұйық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Желтоқсан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Родина ауылдық округінің Зеленый Гай ауылының келесі көшелері және тұйық көшесі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Фруктовый-2 тұйық көшесі Самал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хутор көшесі Достық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Целиноград ауданы Родина ауылдық округінің Садовое ауылының келесі көшесі қайта аталсын: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Тәуелсіздік көшесіне.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Родина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Б.Газдиева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