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e0ce" w14:textId="d22e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бойынша бір гектар үшін кен іздеушіліктің салдарын жою бойынша міндеттемелердің орындалуын қамтамасыз ету көлемін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18 шілдедегі № 325 қаулысы. Ақтөбе облысының Әділет департаментінде 2018 жылғы 8 тамызда № 5935 болып тіркелді. Күші жойылды - Ақтөбе облысы әкімдігінің 2020 жылғы 15 сәуірдегі № 163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15.04.2020 № 163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27 желтоқсандағы "Жер қойнауы және жер қойнауын пайдалану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Премьер-Министрінің 2018 жылғы 23 наурыздағы № 20-ө "2017 жылғы 27 желтоқсандағы "Жер қойнауы және жер қойнауын пайдалану туралы" Қазақстан Республикасының Кодексін іске асыру жөніндегі шаралар туралы" өкіміне сәйкес,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бойынша бір гектар үшін кен іздеушіліктің салдарын жоюды қамтамасыз ету көлемі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индустриялық-инновациялық даму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Қ.Ә. Бекеновке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енгізіледі, бірақ, Қазақстан Республикасының 2017 жылғы 27 желтоқсандағы "Жер қойнауы және жер қойнауын пайдалану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енгізілгеннен бұрын емес.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шілдеде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бір гектар үшін кен іздеушіліктің салдарын жою бойынша міндеттемелердің орындалуын қамтамасыз ету көлемі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Есептің бірінші жылы мен үшінші жылы аралығын қоса алған мерзімдегі Қамтамасыз ету мөлшері 2017 жылғы 27 желтоқсандағы Қазақстан Республикасының "Жер қойнауы және жер қойнауын пайдалану туралы" Кодексінің 210-бабының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274-бабында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бір гектар үшін жұмыстарына жұмсалған жылдық ең төменгі шығын сомасының 10%-дық көлемінде төмендегі формуламен анықталады.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=6940×АЕК×10%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есепті қоса алғандағы бірінші жылдан үшінші жыл аралығын қоса алған мерзімдегі қамтамасыз ету мөлшері;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көрсеткіш, республикалық бюджет заңы бойынша қаржылық жылға сәйкес бекітілген.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