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b88" w14:textId="d375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6 маусымдағы № 159 шешімі. Ақтөбе облысы Әділет департаментінің Байғанин аудандық Әділет басқармасында 2018 жылғы 19 маусымда № 3-4-175 болып тіркелді. Күші жойылды - Ақтөбе облысы Байғанин аудандық мәслихатының 2020 жылғы 24 желтоқсандағы № 399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24.12.2020 № 399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Ақтөбе облысы Байғанин аудандық мәслихатының 26.11.2018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Байғанин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6 маусымдағы № 159 шешіміне қосымша</w:t>
            </w:r>
          </w:p>
        </w:tc>
      </w:tr>
    </w:tbl>
    <w:bookmarkStart w:name="z7" w:id="4"/>
    <w:p>
      <w:pPr>
        <w:spacing w:after="0"/>
        <w:ind w:left="0"/>
        <w:jc w:val="left"/>
      </w:pPr>
      <w:r>
        <w:rPr>
          <w:rFonts w:ascii="Times New Roman"/>
          <w:b/>
          <w:i w:val="false"/>
          <w:color w:val="000000"/>
        </w:rPr>
        <w:t xml:space="preserve"> Байғанин ауданында тұрғын үй көмегін көрсету мөлшері және тәртібі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аудандық мәслихатының 25.08.2020 </w:t>
      </w:r>
      <w:r>
        <w:rPr>
          <w:rFonts w:ascii="Times New Roman"/>
          <w:b w:val="false"/>
          <w:i w:val="false"/>
          <w:color w:val="ff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Тұрғын үй көмегін көрсету тәртібі</w:t>
      </w:r>
    </w:p>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bookmarkStart w:name="z11" w:id="6"/>
    <w:p>
      <w:pPr>
        <w:spacing w:after="0"/>
        <w:ind w:left="0"/>
        <w:jc w:val="both"/>
      </w:pPr>
      <w:r>
        <w:rPr>
          <w:rFonts w:ascii="Times New Roman"/>
          <w:b w:val="false"/>
          <w:i w:val="false"/>
          <w:color w:val="000000"/>
          <w:sz w:val="28"/>
        </w:rPr>
        <w:t>
      2. Тұрғын үй көмегін тағайындау "Байғанин аудандық жұмыспен қамту және әлеуметтік бағдарламалар бөлімі" мемлекеттік мекемесімен (бұдан әрі-уәкілетті орган) жүзеге асырылады.</w:t>
      </w:r>
    </w:p>
    <w:bookmarkEnd w:id="6"/>
    <w:bookmarkStart w:name="z12" w:id="7"/>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7"/>
    <w:bookmarkStart w:name="z13" w:id="8"/>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8"/>
    <w:bookmarkStart w:name="z14" w:id="9"/>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9"/>
    <w:bookmarkStart w:name="z15" w:id="10"/>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0"/>
    <w:bookmarkStart w:name="z16" w:id="11"/>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11"/>
    <w:bookmarkStart w:name="z17" w:id="12"/>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bookmarkStart w:name="z18" w:id="13"/>
    <w:p>
      <w:pPr>
        <w:spacing w:after="0"/>
        <w:ind w:left="0"/>
        <w:jc w:val="both"/>
      </w:pPr>
      <w:r>
        <w:rPr>
          <w:rFonts w:ascii="Times New Roman"/>
          <w:b w:val="false"/>
          <w:i w:val="false"/>
          <w:color w:val="000000"/>
          <w:sz w:val="28"/>
        </w:rPr>
        <w:t>
      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3"/>
    <w:bookmarkStart w:name="z19" w:id="14"/>
    <w:p>
      <w:pPr>
        <w:spacing w:after="0"/>
        <w:ind w:left="0"/>
        <w:jc w:val="both"/>
      </w:pPr>
      <w:r>
        <w:rPr>
          <w:rFonts w:ascii="Times New Roman"/>
          <w:b w:val="false"/>
          <w:i w:val="false"/>
          <w:color w:val="000000"/>
          <w:sz w:val="28"/>
        </w:rPr>
        <w:t>
      8. Тұрғын үй көмегін тағайындау туралы шешім не кызметті көрсетуден бас тарту туралы дәлелді жауапты тұрғын үй көмегін тағайындауды жүзеге асыратын уәкілетті органмен қабылданады.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20" w:id="15"/>
    <w:p>
      <w:pPr>
        <w:spacing w:after="0"/>
        <w:ind w:left="0"/>
        <w:jc w:val="left"/>
      </w:pPr>
      <w:r>
        <w:rPr>
          <w:rFonts w:ascii="Times New Roman"/>
          <w:b/>
          <w:i w:val="false"/>
          <w:color w:val="000000"/>
        </w:rPr>
        <w:t xml:space="preserve"> 2. Тұрғын үй көмегiн көрсету мөлшерi</w:t>
      </w:r>
    </w:p>
    <w:bookmarkEnd w:id="15"/>
    <w:bookmarkStart w:name="z21" w:id="16"/>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нормаларға сәйкес жүргізіледі:</w:t>
      </w:r>
    </w:p>
    <w:bookmarkEnd w:id="16"/>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нормасы бір адамға он сегіз шаршы метр пайдалы алаңды құрайды. Жалғыз тұратын азаматтар үшін бір бөлмелі пәтерден немесе жатақханадағы бөлмеден кем емес мөлшерде;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4) кондоминиум объектісінің ортақ мүлкін күтіп-ұстауға:</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